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0C68" w14:textId="1D700F75" w:rsidR="00DC57AD" w:rsidRPr="00DC57AD" w:rsidRDefault="00DC57AD" w:rsidP="00DC57AD">
      <w:pPr>
        <w:rPr>
          <w:b/>
          <w:bCs/>
        </w:rPr>
      </w:pPr>
      <w:r w:rsidRPr="00DC57AD">
        <w:rPr>
          <w:b/>
          <w:bCs/>
        </w:rPr>
        <w:t>Risk Assessment and Monitoring Plan Instructions: Indian Nations and Urban Indian Organizations</w:t>
      </w:r>
    </w:p>
    <w:p w14:paraId="3DF45A6D" w14:textId="1CCCB57C" w:rsidR="00EA3101" w:rsidRPr="005C22E4" w:rsidRDefault="00EA3101" w:rsidP="00DC57AD">
      <w:pPr>
        <w:rPr>
          <w:u w:val="single"/>
        </w:rPr>
      </w:pPr>
      <w:r w:rsidRPr="005C22E4">
        <w:rPr>
          <w:u w:val="single"/>
        </w:rPr>
        <w:t xml:space="preserve">Purpose: </w:t>
      </w:r>
    </w:p>
    <w:p w14:paraId="77B2E7FC" w14:textId="253889B3" w:rsidR="00EA3101" w:rsidRPr="005C22E4" w:rsidRDefault="00EA3101" w:rsidP="00DC57AD">
      <w:r w:rsidRPr="005C22E4">
        <w:t xml:space="preserve">The purpose of the INA and UIO risk assessment is </w:t>
      </w:r>
      <w:r w:rsidR="005C22E4" w:rsidRPr="005C22E4">
        <w:t>to comply</w:t>
      </w:r>
      <w:r w:rsidR="00625ACD" w:rsidRPr="005C22E4">
        <w:t xml:space="preserve"> with federal </w:t>
      </w:r>
      <w:r w:rsidR="005C22E4" w:rsidRPr="005C22E4">
        <w:t>regulations over</w:t>
      </w:r>
      <w:r w:rsidR="00625ACD" w:rsidRPr="005C22E4">
        <w:t xml:space="preserve"> </w:t>
      </w:r>
      <w:r w:rsidR="005C22E4" w:rsidRPr="005C22E4">
        <w:t>subrecipient</w:t>
      </w:r>
      <w:r w:rsidR="00625ACD" w:rsidRPr="005C22E4">
        <w:t xml:space="preserve"> </w:t>
      </w:r>
      <w:r w:rsidR="005C22E4" w:rsidRPr="005C22E4">
        <w:t>monitoring related</w:t>
      </w:r>
      <w:r w:rsidR="00990124" w:rsidRPr="005C22E4">
        <w:t xml:space="preserve"> to </w:t>
      </w:r>
      <w:r w:rsidRPr="005C22E4">
        <w:t xml:space="preserve">risk assessments and </w:t>
      </w:r>
      <w:r w:rsidR="00990124" w:rsidRPr="005C22E4">
        <w:t xml:space="preserve">contract </w:t>
      </w:r>
      <w:r w:rsidRPr="005C22E4">
        <w:t xml:space="preserve">monitoring based on risk. In the current INA, the HCA negotiated with the Tribes to a monitoring process that was streamlined for all INA/UIO subrecipients. Completing the risk assessment and monitoring based on the level of risk will honor our commitment to Tribes and UIOs to reduce administrative burden where </w:t>
      </w:r>
      <w:r w:rsidR="005C22E4" w:rsidRPr="005C22E4">
        <w:t>possible, while</w:t>
      </w:r>
      <w:r w:rsidR="00990124" w:rsidRPr="005C22E4">
        <w:t xml:space="preserve"> </w:t>
      </w:r>
      <w:r w:rsidR="00625ACD" w:rsidRPr="005C22E4">
        <w:t>ensur</w:t>
      </w:r>
      <w:r w:rsidR="00990124" w:rsidRPr="005C22E4">
        <w:t xml:space="preserve">ing </w:t>
      </w:r>
      <w:r w:rsidRPr="005C22E4">
        <w:t>compliance with federal</w:t>
      </w:r>
      <w:r w:rsidR="005C22E4" w:rsidRPr="005C22E4">
        <w:t xml:space="preserve"> </w:t>
      </w:r>
      <w:r w:rsidR="00625ACD" w:rsidRPr="005C22E4">
        <w:t>compliance requirements</w:t>
      </w:r>
      <w:r w:rsidRPr="005C22E4">
        <w:t xml:space="preserve">. </w:t>
      </w:r>
    </w:p>
    <w:p w14:paraId="6BCEA1E8" w14:textId="6D00E8AF" w:rsidR="00EA3101" w:rsidRPr="005C22E4" w:rsidRDefault="00EA3101" w:rsidP="00DC57AD">
      <w:r w:rsidRPr="005C22E4">
        <w:t xml:space="preserve">HCA honors and is committed to Tribal sovereignty and the Tribes inherent right to implement programs as they see fit, reducing oversight when possible, and support Tribal sovereignty activities such as the Tribal attestation, in accordance with RCW 71.24.025(26)(c); Section 408(a) of the Indian Health Care Improvement Act, 25 U.S.C. § 1647a(a); and 42 C.F.R. § 431.110. </w:t>
      </w:r>
    </w:p>
    <w:p w14:paraId="4F6EC790" w14:textId="05FFADD7" w:rsidR="00EA3101" w:rsidRPr="005C22E4" w:rsidRDefault="00EA3101" w:rsidP="00DC57AD">
      <w:r w:rsidRPr="005C22E4">
        <w:t>This form will be completed by the INA/UIO contract managers, which is the HCA’s Office of Tribal Affairs as negotiated through Tribal consultation. Once this is complete, the risk assessment tool and monitoring plan will be shared with the Tribe/</w:t>
      </w:r>
      <w:proofErr w:type="gramStart"/>
      <w:r w:rsidRPr="005C22E4">
        <w:t>UIO</w:t>
      </w:r>
      <w:proofErr w:type="gramEnd"/>
      <w:r w:rsidRPr="005C22E4">
        <w:t xml:space="preserve"> and monitoring will be conducted based on the level of risk and as requested by the Tribe. </w:t>
      </w:r>
    </w:p>
    <w:p w14:paraId="419D496C" w14:textId="1732AF3B" w:rsidR="00DC57AD" w:rsidRPr="009F3A9A" w:rsidRDefault="00F620D9" w:rsidP="00DC57AD">
      <w:pPr>
        <w:rPr>
          <w:u w:val="single"/>
        </w:rPr>
      </w:pPr>
      <w:r>
        <w:rPr>
          <w:rFonts w:eastAsia="Arial Unicode MS"/>
        </w:rPr>
        <w:t xml:space="preserve">Delays and errors directly caused by HCA internal processes will not result in negative impacts to the Indian Nation or UIO’s risk assessment and monitoring plan. </w:t>
      </w:r>
      <w:r w:rsidR="00DC57AD" w:rsidRPr="009F3A9A">
        <w:rPr>
          <w:u w:val="single"/>
        </w:rPr>
        <w:t xml:space="preserve">New </w:t>
      </w:r>
      <w:r w:rsidR="00DC57AD">
        <w:rPr>
          <w:u w:val="single"/>
        </w:rPr>
        <w:t xml:space="preserve">Agreement/Contract: </w:t>
      </w:r>
    </w:p>
    <w:p w14:paraId="4A167BA4" w14:textId="1A2CA2E8" w:rsidR="00DC57AD" w:rsidRPr="009F3A9A" w:rsidRDefault="00DC57AD" w:rsidP="00DC57AD">
      <w:pPr>
        <w:pStyle w:val="ListParagraph"/>
        <w:numPr>
          <w:ilvl w:val="0"/>
          <w:numId w:val="9"/>
        </w:numPr>
        <w:ind w:left="720"/>
      </w:pPr>
      <w:r>
        <w:t>C</w:t>
      </w:r>
      <w:r w:rsidRPr="009F3A9A">
        <w:t>omplete the entire form and send the completed form to HCA Contracts</w:t>
      </w:r>
      <w:r>
        <w:t xml:space="preserve"> with your approved </w:t>
      </w:r>
      <w:r w:rsidR="00530A75">
        <w:t>Good and Services Request (</w:t>
      </w:r>
      <w:r>
        <w:t>GSR</w:t>
      </w:r>
      <w:r w:rsidR="00530A75">
        <w:t>)</w:t>
      </w:r>
      <w:r w:rsidRPr="009F3A9A">
        <w:t xml:space="preserve"> when you request a new </w:t>
      </w:r>
      <w:r w:rsidR="00530A75">
        <w:t xml:space="preserve">Indian Nation Agreement (INA) or Urban Indian Organization (UIO) </w:t>
      </w:r>
      <w:r w:rsidRPr="009F3A9A">
        <w:t>contract.</w:t>
      </w:r>
    </w:p>
    <w:p w14:paraId="5B922063" w14:textId="7BFC7D00" w:rsidR="00DC57AD" w:rsidRPr="009F3A9A" w:rsidRDefault="00DC57AD" w:rsidP="00DC57AD">
      <w:pPr>
        <w:rPr>
          <w:u w:val="single"/>
        </w:rPr>
      </w:pPr>
      <w:r>
        <w:rPr>
          <w:u w:val="single"/>
        </w:rPr>
        <w:t xml:space="preserve">INA Amendment/UIO Contract Amendment: </w:t>
      </w:r>
    </w:p>
    <w:p w14:paraId="0FF15FB1" w14:textId="5D20C8A7" w:rsidR="00DC57AD" w:rsidRDefault="00DC57AD" w:rsidP="00DC57AD">
      <w:pPr>
        <w:pStyle w:val="ListParagraph"/>
        <w:numPr>
          <w:ilvl w:val="0"/>
          <w:numId w:val="8"/>
        </w:numPr>
      </w:pPr>
      <w:r>
        <w:t>Complete any risk assessments for an Indian Nation or UIO</w:t>
      </w:r>
      <w:r w:rsidR="00530A75">
        <w:t xml:space="preserve"> </w:t>
      </w:r>
      <w:r w:rsidR="002A02EE">
        <w:t>in</w:t>
      </w:r>
      <w:r w:rsidR="003A1500">
        <w:t xml:space="preserve"> accordance with the risk assessment desk monitoring plan. </w:t>
      </w:r>
      <w:r>
        <w:t xml:space="preserve"> </w:t>
      </w:r>
    </w:p>
    <w:p w14:paraId="39F0C817" w14:textId="17447788" w:rsidR="00DC57AD" w:rsidRDefault="00DC57AD" w:rsidP="00DC57AD">
      <w:pPr>
        <w:pStyle w:val="ListParagraph"/>
        <w:numPr>
          <w:ilvl w:val="0"/>
          <w:numId w:val="8"/>
        </w:numPr>
      </w:pPr>
      <w:r>
        <w:t>This</w:t>
      </w:r>
      <w:r w:rsidR="00530A75">
        <w:t xml:space="preserve"> form</w:t>
      </w:r>
      <w:r>
        <w:t xml:space="preserve"> may be completed again prior to the desk review process for the following reasons: </w:t>
      </w:r>
    </w:p>
    <w:p w14:paraId="5639259C" w14:textId="1517E907" w:rsidR="00DC57AD" w:rsidRDefault="00E60600" w:rsidP="00DC57AD">
      <w:pPr>
        <w:pStyle w:val="ListParagraph"/>
        <w:numPr>
          <w:ilvl w:val="1"/>
          <w:numId w:val="8"/>
        </w:numPr>
      </w:pPr>
      <w:r>
        <w:t>T</w:t>
      </w:r>
      <w:r w:rsidR="00DC57AD">
        <w:t xml:space="preserve">here </w:t>
      </w:r>
      <w:r w:rsidR="00DC57AD" w:rsidRPr="002200FD">
        <w:t xml:space="preserve">are significant changes at the </w:t>
      </w:r>
      <w:r w:rsidR="00530A75" w:rsidRPr="002200FD">
        <w:t>Indian</w:t>
      </w:r>
      <w:r w:rsidR="00530A75" w:rsidRPr="003A1500">
        <w:t xml:space="preserve"> Nation</w:t>
      </w:r>
      <w:r>
        <w:t xml:space="preserve"> or UIO</w:t>
      </w:r>
      <w:r w:rsidR="00530A75" w:rsidRPr="003A1500">
        <w:t xml:space="preserve"> that</w:t>
      </w:r>
      <w:r w:rsidR="00DC57AD" w:rsidRPr="003A1500">
        <w:t xml:space="preserve"> warrant an updated risk assessment.  </w:t>
      </w:r>
      <w:r w:rsidR="0022435B" w:rsidRPr="003A1500">
        <w:t>Examples</w:t>
      </w:r>
      <w:r w:rsidR="00FE0ADC" w:rsidRPr="003A1500">
        <w:t xml:space="preserve"> of significant changes</w:t>
      </w:r>
      <w:r w:rsidR="00FE0ADC">
        <w:t xml:space="preserve"> </w:t>
      </w:r>
      <w:r>
        <w:t>include</w:t>
      </w:r>
      <w:r w:rsidR="00FE0ADC">
        <w:t xml:space="preserve"> a new </w:t>
      </w:r>
      <w:r w:rsidR="004120FB">
        <w:t>Statement of Work</w:t>
      </w:r>
      <w:r w:rsidR="00FE0ADC">
        <w:t xml:space="preserve"> is being created</w:t>
      </w:r>
      <w:r w:rsidR="004120FB">
        <w:t>/added</w:t>
      </w:r>
      <w:r w:rsidR="0022435B">
        <w:t xml:space="preserve"> or there have been significant changes in contract compliance in the past year. </w:t>
      </w:r>
    </w:p>
    <w:p w14:paraId="02C42FB6" w14:textId="7D114BD8" w:rsidR="003B06F4" w:rsidRPr="002200FD" w:rsidRDefault="0096701E" w:rsidP="003B06F4">
      <w:pPr>
        <w:pStyle w:val="ListParagraph"/>
        <w:numPr>
          <w:ilvl w:val="0"/>
          <w:numId w:val="8"/>
        </w:numPr>
      </w:pPr>
      <w:r w:rsidRPr="002200FD">
        <w:t>HCA Contracts Manager will draft the risk assessment and share with the Tribe</w:t>
      </w:r>
      <w:r w:rsidR="002A02EE">
        <w:t>. The results of the Risk Assessment may be discussed with the I</w:t>
      </w:r>
      <w:r w:rsidR="006674B4">
        <w:t xml:space="preserve">ndian </w:t>
      </w:r>
      <w:r w:rsidR="002A02EE">
        <w:t>N</w:t>
      </w:r>
      <w:r w:rsidR="006674B4">
        <w:t>ation</w:t>
      </w:r>
      <w:r w:rsidR="002A02EE">
        <w:t xml:space="preserve"> or UIO at HCA’s discretion, but the final decision of risk score will be HCA’s</w:t>
      </w:r>
      <w:r w:rsidRPr="002200FD">
        <w:t xml:space="preserve">. </w:t>
      </w:r>
    </w:p>
    <w:p w14:paraId="3B10CD3F" w14:textId="0E9EC0BB" w:rsidR="001A2628" w:rsidRPr="006C7E7E" w:rsidRDefault="001A2628" w:rsidP="000503C4">
      <w:pPr>
        <w:rPr>
          <w:u w:val="single"/>
        </w:rPr>
      </w:pPr>
      <w:r w:rsidRPr="006C7E7E">
        <w:rPr>
          <w:u w:val="single"/>
        </w:rPr>
        <w:t>Subrecipient Risk Assessment</w:t>
      </w:r>
    </w:p>
    <w:p w14:paraId="77400649" w14:textId="26D939A0" w:rsidR="000503C4" w:rsidRPr="006C7E7E" w:rsidRDefault="000503C4" w:rsidP="000503C4">
      <w:r w:rsidRPr="006C7E7E">
        <w:t>To complete the Subrecipient Risk Assessment section</w:t>
      </w:r>
      <w:r w:rsidR="001A2628" w:rsidRPr="006C7E7E">
        <w:t>,</w:t>
      </w:r>
      <w:r w:rsidRPr="006C7E7E">
        <w:t xml:space="preserve"> assess each </w:t>
      </w:r>
      <w:r w:rsidR="001A2628" w:rsidRPr="006C7E7E">
        <w:t>area</w:t>
      </w:r>
      <w:r w:rsidRPr="006C7E7E">
        <w:t xml:space="preserve"> </w:t>
      </w:r>
      <w:r w:rsidR="001A2628" w:rsidRPr="006C7E7E">
        <w:t>as</w:t>
      </w:r>
      <w:r w:rsidRPr="006C7E7E">
        <w:t xml:space="preserve"> low, medium, </w:t>
      </w:r>
      <w:r w:rsidR="001A2628" w:rsidRPr="006C7E7E">
        <w:t>or</w:t>
      </w:r>
      <w:r w:rsidRPr="006C7E7E">
        <w:t xml:space="preserve"> high risk based on the factors </w:t>
      </w:r>
      <w:r w:rsidR="001A2628" w:rsidRPr="006C7E7E">
        <w:t>for each category</w:t>
      </w:r>
      <w:r w:rsidRPr="006C7E7E">
        <w:t>.</w:t>
      </w:r>
      <w:r w:rsidR="00BE3931">
        <w:t xml:space="preserve"> Some categories may require inquiry to the Indian Nation or UIO.</w:t>
      </w:r>
      <w:r w:rsidRPr="006C7E7E">
        <w:t xml:space="preserve"> Then calculate the total risk score from </w:t>
      </w:r>
      <w:r w:rsidRPr="003A1500">
        <w:t xml:space="preserve">the </w:t>
      </w:r>
      <w:r w:rsidR="001A2628" w:rsidRPr="002200FD">
        <w:t>five</w:t>
      </w:r>
      <w:r w:rsidRPr="002200FD">
        <w:t xml:space="preserve"> </w:t>
      </w:r>
      <w:r w:rsidR="001A2628" w:rsidRPr="002200FD">
        <w:t>area</w:t>
      </w:r>
      <w:r w:rsidRPr="002200FD">
        <w:t>s</w:t>
      </w:r>
      <w:r w:rsidR="001A2628" w:rsidRPr="003A1500">
        <w:t>. For the</w:t>
      </w:r>
      <w:r w:rsidR="001A2628" w:rsidRPr="006C7E7E">
        <w:t xml:space="preserve"> calculation an area with </w:t>
      </w:r>
      <w:r w:rsidRPr="006C7E7E">
        <w:t>Low</w:t>
      </w:r>
      <w:r w:rsidR="001A2628" w:rsidRPr="006C7E7E">
        <w:t xml:space="preserve"> Risk</w:t>
      </w:r>
      <w:r w:rsidRPr="006C7E7E">
        <w:t xml:space="preserve"> = 1, Medium</w:t>
      </w:r>
      <w:r w:rsidR="001A2628" w:rsidRPr="006C7E7E">
        <w:t xml:space="preserve"> Risk</w:t>
      </w:r>
      <w:r w:rsidRPr="006C7E7E">
        <w:t xml:space="preserve"> = 2, and High</w:t>
      </w:r>
      <w:r w:rsidR="001A2628" w:rsidRPr="006C7E7E">
        <w:t xml:space="preserve"> Risk</w:t>
      </w:r>
      <w:r w:rsidRPr="006C7E7E">
        <w:t xml:space="preserve"> = 3. The possible risk score ranges from 5 – 15. </w:t>
      </w:r>
    </w:p>
    <w:p w14:paraId="647166BD" w14:textId="4C517924" w:rsidR="000503C4" w:rsidRPr="006C7E7E" w:rsidRDefault="000503C4" w:rsidP="000503C4">
      <w:r w:rsidRPr="006C7E7E">
        <w:t>The risk score will provide an overall risk assessment for the subrecipient based on the following</w:t>
      </w:r>
      <w:r w:rsidR="00754049" w:rsidRPr="006C7E7E">
        <w:t xml:space="preserve"> scale</w:t>
      </w:r>
      <w:r w:rsidRPr="006C7E7E">
        <w:t>:</w:t>
      </w:r>
    </w:p>
    <w:p w14:paraId="34079D94" w14:textId="39698AEE" w:rsidR="000503C4" w:rsidRPr="006C7E7E" w:rsidRDefault="000503C4" w:rsidP="000503C4">
      <w:pPr>
        <w:rPr>
          <w:b/>
          <w:bCs/>
        </w:rPr>
      </w:pPr>
      <w:r w:rsidRPr="006C7E7E">
        <w:rPr>
          <w:b/>
          <w:bCs/>
        </w:rPr>
        <w:lastRenderedPageBreak/>
        <w:t xml:space="preserve">Total </w:t>
      </w:r>
      <w:r w:rsidR="001A2628" w:rsidRPr="006C7E7E">
        <w:rPr>
          <w:b/>
          <w:bCs/>
        </w:rPr>
        <w:t xml:space="preserve">risk </w:t>
      </w:r>
      <w:r w:rsidRPr="006C7E7E">
        <w:rPr>
          <w:b/>
          <w:bCs/>
        </w:rPr>
        <w:t>score:</w:t>
      </w:r>
    </w:p>
    <w:p w14:paraId="23350C00" w14:textId="53A29B5C" w:rsidR="000503C4" w:rsidRPr="006C7E7E" w:rsidRDefault="000503C4" w:rsidP="000503C4">
      <w:pPr>
        <w:rPr>
          <w:b/>
          <w:bCs/>
        </w:rPr>
      </w:pPr>
      <w:r w:rsidRPr="006C7E7E">
        <w:rPr>
          <w:b/>
          <w:bCs/>
        </w:rPr>
        <w:t>Low Risk = 5</w:t>
      </w:r>
      <w:r w:rsidR="007B28E3" w:rsidRPr="006C7E7E">
        <w:rPr>
          <w:b/>
          <w:bCs/>
        </w:rPr>
        <w:t xml:space="preserve"> </w:t>
      </w:r>
      <w:r w:rsidRPr="006C7E7E">
        <w:rPr>
          <w:b/>
          <w:bCs/>
        </w:rPr>
        <w:t>-</w:t>
      </w:r>
      <w:r w:rsidR="007B28E3" w:rsidRPr="006C7E7E">
        <w:rPr>
          <w:b/>
          <w:bCs/>
        </w:rPr>
        <w:t xml:space="preserve"> </w:t>
      </w:r>
      <w:r w:rsidRPr="006C7E7E">
        <w:rPr>
          <w:b/>
          <w:bCs/>
        </w:rPr>
        <w:t>8</w:t>
      </w:r>
    </w:p>
    <w:p w14:paraId="451A13EF" w14:textId="77777777" w:rsidR="000503C4" w:rsidRPr="006C7E7E" w:rsidRDefault="000503C4" w:rsidP="000503C4">
      <w:pPr>
        <w:rPr>
          <w:b/>
          <w:bCs/>
        </w:rPr>
      </w:pPr>
      <w:r w:rsidRPr="006C7E7E">
        <w:rPr>
          <w:b/>
          <w:bCs/>
        </w:rPr>
        <w:t>Medium Risk = 9 - 12</w:t>
      </w:r>
    </w:p>
    <w:p w14:paraId="115D40ED" w14:textId="46F94484" w:rsidR="001A2628" w:rsidRPr="006C7E7E" w:rsidRDefault="000503C4" w:rsidP="000503C4">
      <w:r w:rsidRPr="006C7E7E">
        <w:rPr>
          <w:b/>
          <w:bCs/>
        </w:rPr>
        <w:t>High Risk = 13</w:t>
      </w:r>
      <w:r w:rsidR="007B28E3" w:rsidRPr="006C7E7E">
        <w:rPr>
          <w:b/>
          <w:bCs/>
        </w:rPr>
        <w:t xml:space="preserve"> </w:t>
      </w:r>
      <w:r w:rsidRPr="006C7E7E">
        <w:rPr>
          <w:b/>
          <w:bCs/>
        </w:rPr>
        <w:t>-</w:t>
      </w:r>
      <w:r w:rsidR="007B28E3" w:rsidRPr="006C7E7E">
        <w:rPr>
          <w:b/>
          <w:bCs/>
        </w:rPr>
        <w:t xml:space="preserve"> </w:t>
      </w:r>
      <w:r w:rsidRPr="006C7E7E">
        <w:rPr>
          <w:b/>
          <w:bCs/>
        </w:rPr>
        <w:t>15</w:t>
      </w:r>
      <w:r w:rsidR="001A2628" w:rsidRPr="006C7E7E">
        <w:t xml:space="preserve"> </w:t>
      </w:r>
    </w:p>
    <w:p w14:paraId="147B954D" w14:textId="336398C7" w:rsidR="000503C4" w:rsidRPr="006C7E7E" w:rsidRDefault="001A2628" w:rsidP="000503C4">
      <w:pPr>
        <w:rPr>
          <w:b/>
          <w:bCs/>
        </w:rPr>
      </w:pPr>
      <w:r w:rsidRPr="006C7E7E">
        <w:t xml:space="preserve">For example, a subrecipient with three low risk areas, one medium risk area, and one high risk area would score 10 (1 +1 +1 +2 +3). This would result in an overall medium risk assessment based on the </w:t>
      </w:r>
      <w:r w:rsidR="00754049" w:rsidRPr="006C7E7E">
        <w:t>total risk score scale</w:t>
      </w:r>
      <w:r w:rsidRPr="006C7E7E">
        <w:t>.</w:t>
      </w:r>
    </w:p>
    <w:p w14:paraId="4F10BBFE" w14:textId="170A1FA3" w:rsidR="001A2628" w:rsidRPr="006C7E7E" w:rsidRDefault="001A2628" w:rsidP="000503C4">
      <w:pPr>
        <w:rPr>
          <w:u w:val="single"/>
        </w:rPr>
      </w:pPr>
      <w:r w:rsidRPr="006C7E7E">
        <w:rPr>
          <w:u w:val="single"/>
        </w:rPr>
        <w:t>Monitoring Plan</w:t>
      </w:r>
    </w:p>
    <w:p w14:paraId="102D66D6" w14:textId="5082E9BA" w:rsidR="000503C4" w:rsidRPr="006C7E7E" w:rsidRDefault="000503C4" w:rsidP="000503C4">
      <w:r w:rsidRPr="006C7E7E">
        <w:t xml:space="preserve">Use the </w:t>
      </w:r>
      <w:r w:rsidR="001A2628" w:rsidRPr="006C7E7E">
        <w:t xml:space="preserve">overall </w:t>
      </w:r>
      <w:r w:rsidRPr="006C7E7E">
        <w:t xml:space="preserve">risk </w:t>
      </w:r>
      <w:r w:rsidR="001A2628" w:rsidRPr="006C7E7E">
        <w:t>assessment determined above</w:t>
      </w:r>
      <w:r w:rsidRPr="006C7E7E">
        <w:t xml:space="preserve"> to </w:t>
      </w:r>
      <w:r w:rsidR="00754049" w:rsidRPr="006C7E7E">
        <w:t>identify</w:t>
      </w:r>
      <w:r w:rsidRPr="006C7E7E">
        <w:t xml:space="preserve"> the level of monitoring needed in the Monitoring Plan section. There are six monitoring plan categories. </w:t>
      </w:r>
    </w:p>
    <w:p w14:paraId="38CED7B7" w14:textId="6C5EA691" w:rsidR="000503C4" w:rsidRPr="006C7E7E" w:rsidRDefault="000503C4" w:rsidP="00BC37A8">
      <w:pPr>
        <w:pStyle w:val="NormalWeb"/>
        <w:numPr>
          <w:ilvl w:val="0"/>
          <w:numId w:val="27"/>
        </w:numPr>
        <w:spacing w:before="0" w:beforeAutospacing="0" w:after="0" w:afterAutospacing="0"/>
        <w:rPr>
          <w:rFonts w:ascii="Calibri" w:hAnsi="Calibri" w:cs="Calibri"/>
          <w:sz w:val="22"/>
          <w:szCs w:val="22"/>
        </w:rPr>
      </w:pPr>
      <w:r w:rsidRPr="006C7E7E">
        <w:rPr>
          <w:rFonts w:ascii="Calibri" w:hAnsi="Calibri" w:cs="Calibri"/>
          <w:sz w:val="22"/>
          <w:szCs w:val="22"/>
        </w:rPr>
        <w:t>Financial and Performance Reports.</w:t>
      </w:r>
    </w:p>
    <w:p w14:paraId="29718D49" w14:textId="59397F8C" w:rsidR="000503C4" w:rsidRPr="006C7E7E" w:rsidRDefault="000503C4" w:rsidP="00BC37A8">
      <w:pPr>
        <w:pStyle w:val="NormalWeb"/>
        <w:numPr>
          <w:ilvl w:val="0"/>
          <w:numId w:val="27"/>
        </w:numPr>
        <w:spacing w:before="0" w:beforeAutospacing="0" w:after="0" w:afterAutospacing="0"/>
        <w:rPr>
          <w:rFonts w:ascii="Calibri" w:hAnsi="Calibri" w:cs="Calibri"/>
          <w:sz w:val="22"/>
          <w:szCs w:val="22"/>
        </w:rPr>
      </w:pPr>
      <w:r w:rsidRPr="006C7E7E">
        <w:rPr>
          <w:rFonts w:ascii="Calibri" w:hAnsi="Calibri" w:cs="Calibri"/>
          <w:sz w:val="22"/>
          <w:szCs w:val="22"/>
        </w:rPr>
        <w:t>Federal Award Monitoring Report Deficiencies.</w:t>
      </w:r>
    </w:p>
    <w:p w14:paraId="08DFA16E" w14:textId="321DE04B" w:rsidR="000503C4" w:rsidRPr="006C7E7E" w:rsidRDefault="000503C4" w:rsidP="00BC37A8">
      <w:pPr>
        <w:pStyle w:val="NormalWeb"/>
        <w:numPr>
          <w:ilvl w:val="0"/>
          <w:numId w:val="27"/>
        </w:numPr>
        <w:spacing w:before="0" w:beforeAutospacing="0" w:after="0" w:afterAutospacing="0"/>
        <w:rPr>
          <w:rFonts w:ascii="Calibri" w:hAnsi="Calibri" w:cs="Calibri"/>
          <w:sz w:val="22"/>
          <w:szCs w:val="22"/>
        </w:rPr>
      </w:pPr>
      <w:r w:rsidRPr="006C7E7E">
        <w:rPr>
          <w:rFonts w:ascii="Calibri" w:hAnsi="Calibri" w:cs="Calibri"/>
          <w:sz w:val="22"/>
          <w:szCs w:val="22"/>
        </w:rPr>
        <w:t xml:space="preserve">Audit Findings Management Decision </w:t>
      </w:r>
    </w:p>
    <w:p w14:paraId="00B9B570" w14:textId="2B33A77E" w:rsidR="000503C4" w:rsidRPr="006C7E7E" w:rsidRDefault="000503C4" w:rsidP="00BC37A8">
      <w:pPr>
        <w:pStyle w:val="NormalWeb"/>
        <w:numPr>
          <w:ilvl w:val="0"/>
          <w:numId w:val="27"/>
        </w:numPr>
        <w:spacing w:before="0" w:beforeAutospacing="0" w:after="0" w:afterAutospacing="0"/>
        <w:rPr>
          <w:rFonts w:ascii="Calibri" w:hAnsi="Calibri" w:cs="Calibri"/>
          <w:sz w:val="22"/>
          <w:szCs w:val="22"/>
        </w:rPr>
      </w:pPr>
      <w:r w:rsidRPr="006C7E7E">
        <w:rPr>
          <w:rFonts w:ascii="Calibri" w:hAnsi="Calibri" w:cs="Calibri"/>
          <w:sz w:val="22"/>
          <w:szCs w:val="22"/>
        </w:rPr>
        <w:t>Training and Technical Assistanc</w:t>
      </w:r>
      <w:r w:rsidR="001A2628" w:rsidRPr="006C7E7E">
        <w:rPr>
          <w:rFonts w:ascii="Calibri" w:hAnsi="Calibri" w:cs="Calibri"/>
          <w:sz w:val="22"/>
          <w:szCs w:val="22"/>
        </w:rPr>
        <w:t>e</w:t>
      </w:r>
    </w:p>
    <w:p w14:paraId="0A3461DE" w14:textId="032F546A" w:rsidR="000503C4" w:rsidRPr="006C7E7E" w:rsidRDefault="000503C4" w:rsidP="00BC37A8">
      <w:pPr>
        <w:pStyle w:val="NormalWeb"/>
        <w:numPr>
          <w:ilvl w:val="0"/>
          <w:numId w:val="27"/>
        </w:numPr>
        <w:spacing w:before="0" w:beforeAutospacing="0" w:after="0" w:afterAutospacing="0"/>
        <w:rPr>
          <w:rFonts w:ascii="Calibri" w:hAnsi="Calibri" w:cs="Calibri"/>
          <w:sz w:val="22"/>
          <w:szCs w:val="22"/>
        </w:rPr>
      </w:pPr>
      <w:r w:rsidRPr="006C7E7E">
        <w:rPr>
          <w:rFonts w:ascii="Calibri" w:hAnsi="Calibri" w:cs="Calibri"/>
          <w:sz w:val="22"/>
          <w:szCs w:val="22"/>
        </w:rPr>
        <w:t>Desk Reviews</w:t>
      </w:r>
    </w:p>
    <w:p w14:paraId="086327C2" w14:textId="4CE8CC5D" w:rsidR="000503C4" w:rsidRDefault="000503C4" w:rsidP="00BC37A8">
      <w:pPr>
        <w:pStyle w:val="NormalWeb"/>
        <w:numPr>
          <w:ilvl w:val="0"/>
          <w:numId w:val="27"/>
        </w:numPr>
        <w:spacing w:before="0" w:beforeAutospacing="0" w:after="0" w:afterAutospacing="0"/>
        <w:rPr>
          <w:rFonts w:ascii="Calibri" w:hAnsi="Calibri" w:cs="Calibri"/>
          <w:sz w:val="22"/>
          <w:szCs w:val="22"/>
        </w:rPr>
      </w:pPr>
      <w:r w:rsidRPr="006C7E7E">
        <w:rPr>
          <w:rFonts w:ascii="Calibri" w:hAnsi="Calibri" w:cs="Calibri"/>
          <w:sz w:val="22"/>
          <w:szCs w:val="22"/>
        </w:rPr>
        <w:t>Develop agreed upon procedures</w:t>
      </w:r>
    </w:p>
    <w:p w14:paraId="3EA4D1F9" w14:textId="77777777" w:rsidR="003A1500" w:rsidRPr="006C7E7E" w:rsidRDefault="003A1500" w:rsidP="002200FD">
      <w:pPr>
        <w:pStyle w:val="NormalWeb"/>
        <w:spacing w:before="0" w:beforeAutospacing="0" w:after="0" w:afterAutospacing="0"/>
        <w:ind w:left="720"/>
        <w:rPr>
          <w:rFonts w:ascii="Calibri" w:hAnsi="Calibri" w:cs="Calibri"/>
          <w:sz w:val="22"/>
          <w:szCs w:val="22"/>
        </w:rPr>
      </w:pPr>
    </w:p>
    <w:p w14:paraId="2F9E398F" w14:textId="2209DB79" w:rsidR="001A2628" w:rsidRPr="006C7E7E" w:rsidRDefault="001A2628" w:rsidP="001A2628">
      <w:pPr>
        <w:pStyle w:val="NormalWeb"/>
        <w:spacing w:before="0" w:beforeAutospacing="0" w:after="0" w:afterAutospacing="0"/>
        <w:rPr>
          <w:rFonts w:ascii="Calibri" w:hAnsi="Calibri" w:cs="Calibri"/>
          <w:sz w:val="22"/>
          <w:szCs w:val="22"/>
        </w:rPr>
      </w:pPr>
      <w:r w:rsidRPr="006C7E7E">
        <w:rPr>
          <w:rFonts w:ascii="Calibri" w:hAnsi="Calibri" w:cs="Calibri"/>
          <w:sz w:val="22"/>
          <w:szCs w:val="22"/>
        </w:rPr>
        <w:t xml:space="preserve">Enter the overall risk assessment in each monitoring category </w:t>
      </w:r>
      <w:r w:rsidRPr="006C7E7E">
        <w:rPr>
          <w:rFonts w:ascii="Calibri" w:hAnsi="Calibri" w:cs="Calibri"/>
          <w:sz w:val="22"/>
          <w:szCs w:val="22"/>
          <w:u w:val="single"/>
        </w:rPr>
        <w:t>except for categories</w:t>
      </w:r>
      <w:r w:rsidRPr="006C7E7E">
        <w:rPr>
          <w:rFonts w:ascii="Calibri" w:hAnsi="Calibri" w:cs="Calibri"/>
          <w:sz w:val="22"/>
          <w:szCs w:val="22"/>
        </w:rPr>
        <w:t xml:space="preserve"> Federal Award Monitoring Report Deficiencies, and Audit Findings Management Decision. </w:t>
      </w:r>
    </w:p>
    <w:p w14:paraId="62CC6049" w14:textId="2249050B" w:rsidR="001A2628" w:rsidRPr="006C7E7E" w:rsidRDefault="001A2628" w:rsidP="001A2628">
      <w:pPr>
        <w:pStyle w:val="NormalWeb"/>
        <w:numPr>
          <w:ilvl w:val="0"/>
          <w:numId w:val="18"/>
        </w:numPr>
        <w:spacing w:before="0" w:beforeAutospacing="0" w:after="0" w:afterAutospacing="0"/>
        <w:rPr>
          <w:rFonts w:ascii="Calibri" w:hAnsi="Calibri" w:cs="Calibri"/>
          <w:sz w:val="22"/>
          <w:szCs w:val="22"/>
        </w:rPr>
      </w:pPr>
      <w:r w:rsidRPr="006C7E7E">
        <w:rPr>
          <w:rFonts w:ascii="Calibri" w:hAnsi="Calibri" w:cs="Calibri"/>
          <w:sz w:val="22"/>
          <w:szCs w:val="22"/>
        </w:rPr>
        <w:t>For Federal Award Monitoring Report Deficiencies, enter the risk determination identified in the Subrecipient Risk Assessment area Results from a Federal Awarding Agency.</w:t>
      </w:r>
    </w:p>
    <w:p w14:paraId="710263F7" w14:textId="463306E0" w:rsidR="001A2628" w:rsidRPr="006C7E7E" w:rsidRDefault="001A2628" w:rsidP="001A2628">
      <w:pPr>
        <w:pStyle w:val="NormalWeb"/>
        <w:numPr>
          <w:ilvl w:val="0"/>
          <w:numId w:val="18"/>
        </w:numPr>
        <w:spacing w:before="0" w:beforeAutospacing="0" w:after="0" w:afterAutospacing="0"/>
        <w:rPr>
          <w:rFonts w:ascii="Calibri" w:hAnsi="Calibri" w:cs="Calibri"/>
          <w:sz w:val="22"/>
          <w:szCs w:val="22"/>
        </w:rPr>
      </w:pPr>
      <w:r w:rsidRPr="006C7E7E">
        <w:rPr>
          <w:rFonts w:ascii="Calibri" w:hAnsi="Calibri" w:cs="Calibri"/>
          <w:sz w:val="22"/>
          <w:szCs w:val="22"/>
        </w:rPr>
        <w:t>For Audit Findings Management Decision, enter the risk determination identified in the Subrecipient Risk Assessment area Results of previous Single Audits.</w:t>
      </w:r>
    </w:p>
    <w:p w14:paraId="790C8575" w14:textId="1C21346B" w:rsidR="008D0F9B" w:rsidRPr="006C7E7E" w:rsidRDefault="00BB5322" w:rsidP="000503C4">
      <w:r w:rsidRPr="006C7E7E">
        <w:rPr>
          <w:rFonts w:ascii="Calibri" w:hAnsi="Calibri" w:cs="Calibri"/>
        </w:rPr>
        <w:t xml:space="preserve">All other categories will have the same determination of low, medium, or high as determined by the total risk score. </w:t>
      </w:r>
      <w:r w:rsidR="008D0F9B" w:rsidRPr="006C7E7E">
        <w:t>Conduct the monitoring activities identified by the results of the risk assessment.</w:t>
      </w:r>
    </w:p>
    <w:p w14:paraId="2F62CA98" w14:textId="5C896AAF" w:rsidR="0021578F" w:rsidRDefault="0021578F">
      <w:pPr>
        <w:rPr>
          <w:b/>
          <w:bCs/>
        </w:rPr>
      </w:pPr>
      <w:r>
        <w:rPr>
          <w:b/>
          <w:bCs/>
        </w:rPr>
        <w:t xml:space="preserve">Monitoring Plan Completed By: </w:t>
      </w:r>
      <w:r w:rsidR="005C22E4">
        <w:rPr>
          <w:b/>
          <w:bCs/>
        </w:rPr>
        <w:fldChar w:fldCharType="begin">
          <w:ffData>
            <w:name w:val="Text1"/>
            <w:enabled/>
            <w:calcOnExit w:val="0"/>
            <w:textInput/>
          </w:ffData>
        </w:fldChar>
      </w:r>
      <w:bookmarkStart w:id="0" w:name="Text1"/>
      <w:r w:rsidR="005C22E4">
        <w:rPr>
          <w:b/>
          <w:bCs/>
        </w:rPr>
        <w:instrText xml:space="preserve"> FORMTEXT </w:instrText>
      </w:r>
      <w:r w:rsidR="005C22E4">
        <w:rPr>
          <w:b/>
          <w:bCs/>
        </w:rPr>
      </w:r>
      <w:r w:rsidR="005C22E4">
        <w:rPr>
          <w:b/>
          <w:bCs/>
        </w:rPr>
        <w:fldChar w:fldCharType="separate"/>
      </w:r>
      <w:r w:rsidR="005C22E4">
        <w:rPr>
          <w:b/>
          <w:bCs/>
          <w:noProof/>
        </w:rPr>
        <w:t> </w:t>
      </w:r>
      <w:r w:rsidR="005C22E4">
        <w:rPr>
          <w:b/>
          <w:bCs/>
          <w:noProof/>
        </w:rPr>
        <w:t> </w:t>
      </w:r>
      <w:r w:rsidR="005C22E4">
        <w:rPr>
          <w:b/>
          <w:bCs/>
          <w:noProof/>
        </w:rPr>
        <w:t> </w:t>
      </w:r>
      <w:r w:rsidR="005C22E4">
        <w:rPr>
          <w:b/>
          <w:bCs/>
          <w:noProof/>
        </w:rPr>
        <w:t> </w:t>
      </w:r>
      <w:r w:rsidR="005C22E4">
        <w:rPr>
          <w:b/>
          <w:bCs/>
          <w:noProof/>
        </w:rPr>
        <w:t> </w:t>
      </w:r>
      <w:r w:rsidR="005C22E4">
        <w:rPr>
          <w:b/>
          <w:bCs/>
        </w:rPr>
        <w:fldChar w:fldCharType="end"/>
      </w:r>
      <w:bookmarkEnd w:id="0"/>
      <w:r>
        <w:rPr>
          <w:b/>
          <w:bCs/>
        </w:rPr>
        <w:tab/>
      </w:r>
      <w:r>
        <w:rPr>
          <w:b/>
          <w:bCs/>
        </w:rPr>
        <w:tab/>
        <w:t xml:space="preserve">Date of Completion: </w:t>
      </w:r>
      <w:r w:rsidR="005C22E4">
        <w:rPr>
          <w:b/>
          <w:bCs/>
        </w:rPr>
        <w:fldChar w:fldCharType="begin">
          <w:ffData>
            <w:name w:val="Text2"/>
            <w:enabled/>
            <w:calcOnExit w:val="0"/>
            <w:textInput/>
          </w:ffData>
        </w:fldChar>
      </w:r>
      <w:bookmarkStart w:id="1" w:name="Text2"/>
      <w:r w:rsidR="005C22E4">
        <w:rPr>
          <w:b/>
          <w:bCs/>
        </w:rPr>
        <w:instrText xml:space="preserve"> FORMTEXT </w:instrText>
      </w:r>
      <w:r w:rsidR="005C22E4">
        <w:rPr>
          <w:b/>
          <w:bCs/>
        </w:rPr>
      </w:r>
      <w:r w:rsidR="005C22E4">
        <w:rPr>
          <w:b/>
          <w:bCs/>
        </w:rPr>
        <w:fldChar w:fldCharType="separate"/>
      </w:r>
      <w:r w:rsidR="005C22E4">
        <w:rPr>
          <w:b/>
          <w:bCs/>
          <w:noProof/>
        </w:rPr>
        <w:t> </w:t>
      </w:r>
      <w:r w:rsidR="005C22E4">
        <w:rPr>
          <w:b/>
          <w:bCs/>
          <w:noProof/>
        </w:rPr>
        <w:t> </w:t>
      </w:r>
      <w:r w:rsidR="005C22E4">
        <w:rPr>
          <w:b/>
          <w:bCs/>
          <w:noProof/>
        </w:rPr>
        <w:t> </w:t>
      </w:r>
      <w:r w:rsidR="005C22E4">
        <w:rPr>
          <w:b/>
          <w:bCs/>
          <w:noProof/>
        </w:rPr>
        <w:t> </w:t>
      </w:r>
      <w:r w:rsidR="005C22E4">
        <w:rPr>
          <w:b/>
          <w:bCs/>
          <w:noProof/>
        </w:rPr>
        <w:t> </w:t>
      </w:r>
      <w:r w:rsidR="005C22E4">
        <w:rPr>
          <w:b/>
          <w:bCs/>
        </w:rPr>
        <w:fldChar w:fldCharType="end"/>
      </w:r>
      <w:bookmarkEnd w:id="1"/>
    </w:p>
    <w:p w14:paraId="75A99362" w14:textId="17428791" w:rsidR="0039330F" w:rsidRPr="0039330F" w:rsidRDefault="0039330F">
      <w:pPr>
        <w:rPr>
          <w:b/>
          <w:bCs/>
        </w:rPr>
      </w:pPr>
      <w:r w:rsidRPr="0039330F">
        <w:rPr>
          <w:b/>
          <w:bCs/>
        </w:rPr>
        <w:t>Subrecipient Risk Assessment</w:t>
      </w:r>
      <w:r w:rsidR="005C22E4">
        <w:rPr>
          <w:b/>
          <w:bCs/>
        </w:rPr>
        <w:t xml:space="preserve">: </w:t>
      </w:r>
      <w:r w:rsidR="005C22E4">
        <w:rPr>
          <w:b/>
          <w:bCs/>
        </w:rPr>
        <w:fldChar w:fldCharType="begin">
          <w:ffData>
            <w:name w:val="Text3"/>
            <w:enabled/>
            <w:calcOnExit w:val="0"/>
            <w:textInput/>
          </w:ffData>
        </w:fldChar>
      </w:r>
      <w:bookmarkStart w:id="2" w:name="Text3"/>
      <w:r w:rsidR="005C22E4">
        <w:rPr>
          <w:b/>
          <w:bCs/>
        </w:rPr>
        <w:instrText xml:space="preserve"> FORMTEXT </w:instrText>
      </w:r>
      <w:r w:rsidR="005C22E4">
        <w:rPr>
          <w:b/>
          <w:bCs/>
        </w:rPr>
      </w:r>
      <w:r w:rsidR="005C22E4">
        <w:rPr>
          <w:b/>
          <w:bCs/>
        </w:rPr>
        <w:fldChar w:fldCharType="separate"/>
      </w:r>
      <w:r w:rsidR="005C22E4">
        <w:rPr>
          <w:b/>
          <w:bCs/>
          <w:noProof/>
        </w:rPr>
        <w:t> </w:t>
      </w:r>
      <w:r w:rsidR="005C22E4">
        <w:rPr>
          <w:b/>
          <w:bCs/>
          <w:noProof/>
        </w:rPr>
        <w:t> </w:t>
      </w:r>
      <w:r w:rsidR="005C22E4">
        <w:rPr>
          <w:b/>
          <w:bCs/>
          <w:noProof/>
        </w:rPr>
        <w:t> </w:t>
      </w:r>
      <w:r w:rsidR="005C22E4">
        <w:rPr>
          <w:b/>
          <w:bCs/>
          <w:noProof/>
        </w:rPr>
        <w:t> </w:t>
      </w:r>
      <w:r w:rsidR="005C22E4">
        <w:rPr>
          <w:b/>
          <w:bCs/>
          <w:noProof/>
        </w:rPr>
        <w:t> </w:t>
      </w:r>
      <w:r w:rsidR="005C22E4">
        <w:rPr>
          <w:b/>
          <w:bCs/>
        </w:rPr>
        <w:fldChar w:fldCharType="end"/>
      </w:r>
      <w:bookmarkEnd w:id="2"/>
    </w:p>
    <w:tbl>
      <w:tblPr>
        <w:tblStyle w:val="TableGrid"/>
        <w:tblW w:w="0" w:type="auto"/>
        <w:tblLook w:val="04A0" w:firstRow="1" w:lastRow="0" w:firstColumn="1" w:lastColumn="0" w:noHBand="0" w:noVBand="1"/>
      </w:tblPr>
      <w:tblGrid>
        <w:gridCol w:w="1126"/>
        <w:gridCol w:w="7419"/>
        <w:gridCol w:w="805"/>
      </w:tblGrid>
      <w:tr w:rsidR="00324826" w14:paraId="3203836A" w14:textId="40C0B561" w:rsidTr="00D65F52">
        <w:tc>
          <w:tcPr>
            <w:tcW w:w="8545" w:type="dxa"/>
            <w:gridSpan w:val="2"/>
          </w:tcPr>
          <w:p w14:paraId="5D1CB974" w14:textId="53B90803" w:rsidR="00324826" w:rsidRDefault="00324826">
            <w:pPr>
              <w:rPr>
                <w:b/>
                <w:bCs/>
              </w:rPr>
            </w:pPr>
            <w:r w:rsidRPr="0039330F">
              <w:rPr>
                <w:b/>
                <w:bCs/>
              </w:rPr>
              <w:t>Subrecipient’s Prior Experience with the Same or Similar Subawards</w:t>
            </w:r>
          </w:p>
        </w:tc>
        <w:tc>
          <w:tcPr>
            <w:tcW w:w="805" w:type="dxa"/>
          </w:tcPr>
          <w:p w14:paraId="3BFB26B3" w14:textId="53878432" w:rsidR="00324826" w:rsidRPr="0039330F" w:rsidRDefault="00B70336">
            <w:pPr>
              <w:rPr>
                <w:b/>
                <w:bCs/>
              </w:rPr>
            </w:pPr>
            <w:r>
              <w:rPr>
                <w:b/>
                <w:bCs/>
              </w:rPr>
              <w:t>Score</w:t>
            </w:r>
          </w:p>
        </w:tc>
      </w:tr>
      <w:tr w:rsidR="00B70336" w14:paraId="0EB89A63" w14:textId="1BA766DA" w:rsidTr="00D65F52">
        <w:tc>
          <w:tcPr>
            <w:tcW w:w="1126" w:type="dxa"/>
          </w:tcPr>
          <w:p w14:paraId="4BD53F0A" w14:textId="6B6B167C" w:rsidR="00B70336" w:rsidRDefault="00B70336">
            <w:pPr>
              <w:rPr>
                <w:b/>
                <w:bCs/>
              </w:rPr>
            </w:pPr>
            <w:r>
              <w:fldChar w:fldCharType="begin">
                <w:ffData>
                  <w:name w:val="Check1"/>
                  <w:enabled/>
                  <w:calcOnExit w:val="0"/>
                  <w:checkBox>
                    <w:sizeAuto/>
                    <w:default w:val="0"/>
                  </w:checkBox>
                </w:ffData>
              </w:fldChar>
            </w:r>
            <w:bookmarkStart w:id="3" w:name="Check1"/>
            <w:r>
              <w:instrText xml:space="preserve"> FORMCHECKBOX </w:instrText>
            </w:r>
            <w:r w:rsidR="00342B3F">
              <w:fldChar w:fldCharType="separate"/>
            </w:r>
            <w:r>
              <w:fldChar w:fldCharType="end"/>
            </w:r>
            <w:bookmarkEnd w:id="3"/>
            <w:r>
              <w:t xml:space="preserve"> Low </w:t>
            </w:r>
            <w:r w:rsidRPr="00221A3D">
              <w:rPr>
                <w:color w:val="0070C0"/>
              </w:rPr>
              <w:t>(1)</w:t>
            </w:r>
          </w:p>
        </w:tc>
        <w:tc>
          <w:tcPr>
            <w:tcW w:w="7419" w:type="dxa"/>
          </w:tcPr>
          <w:p w14:paraId="4EE0520D" w14:textId="19EF61B0" w:rsidR="00B70336" w:rsidRDefault="00B70336">
            <w:pPr>
              <w:rPr>
                <w:b/>
                <w:bCs/>
              </w:rPr>
            </w:pPr>
            <w:r>
              <w:t xml:space="preserve">Subrecipient has significant prior experience with similar subawards including direct grants from the </w:t>
            </w:r>
            <w:r w:rsidR="00213E71">
              <w:t xml:space="preserve">same Federal Awarding Agency that </w:t>
            </w:r>
            <w:r w:rsidR="005D2BF7">
              <w:t>issued the funds supporting your subaward</w:t>
            </w:r>
            <w:r>
              <w:t xml:space="preserve"> (more than 3 years)</w:t>
            </w:r>
            <w:r w:rsidR="001D19A3">
              <w:t>.</w:t>
            </w:r>
            <w:r>
              <w:t xml:space="preserve">  </w:t>
            </w:r>
          </w:p>
        </w:tc>
        <w:tc>
          <w:tcPr>
            <w:tcW w:w="805" w:type="dxa"/>
            <w:vMerge w:val="restart"/>
          </w:tcPr>
          <w:p w14:paraId="002172D2" w14:textId="77777777" w:rsidR="00B70336" w:rsidRDefault="00B70336"/>
        </w:tc>
      </w:tr>
      <w:tr w:rsidR="00B70336" w14:paraId="564CA6C1" w14:textId="23F079FA" w:rsidTr="00D65F52">
        <w:tc>
          <w:tcPr>
            <w:tcW w:w="1126" w:type="dxa"/>
          </w:tcPr>
          <w:p w14:paraId="5B077D63" w14:textId="0C43012F" w:rsidR="00B70336" w:rsidRDefault="00B70336">
            <w:pPr>
              <w:rPr>
                <w:b/>
                <w:bCs/>
              </w:rPr>
            </w:pPr>
            <w:r>
              <w:fldChar w:fldCharType="begin">
                <w:ffData>
                  <w:name w:val="Check2"/>
                  <w:enabled/>
                  <w:calcOnExit w:val="0"/>
                  <w:checkBox>
                    <w:sizeAuto/>
                    <w:default w:val="0"/>
                  </w:checkBox>
                </w:ffData>
              </w:fldChar>
            </w:r>
            <w:bookmarkStart w:id="4" w:name="Check2"/>
            <w:r>
              <w:instrText xml:space="preserve"> FORMCHECKBOX </w:instrText>
            </w:r>
            <w:r w:rsidR="00342B3F">
              <w:fldChar w:fldCharType="separate"/>
            </w:r>
            <w:r>
              <w:fldChar w:fldCharType="end"/>
            </w:r>
            <w:bookmarkEnd w:id="4"/>
            <w:r>
              <w:t xml:space="preserve"> Medium </w:t>
            </w:r>
            <w:r w:rsidRPr="00221A3D">
              <w:rPr>
                <w:color w:val="0070C0"/>
              </w:rPr>
              <w:t>(2)</w:t>
            </w:r>
          </w:p>
        </w:tc>
        <w:tc>
          <w:tcPr>
            <w:tcW w:w="7419" w:type="dxa"/>
          </w:tcPr>
          <w:p w14:paraId="49622C5C" w14:textId="518E0118" w:rsidR="00B70336" w:rsidRDefault="00B70336">
            <w:pPr>
              <w:rPr>
                <w:b/>
                <w:bCs/>
              </w:rPr>
            </w:pPr>
            <w:r>
              <w:t>Subrecipient has some experience with similar subawards including direct grants from</w:t>
            </w:r>
            <w:r w:rsidR="005D2BF7">
              <w:t xml:space="preserve"> the same Federal Awarding Agency that issued the funds supporting your subaward</w:t>
            </w:r>
            <w:r>
              <w:t xml:space="preserve"> (3 years or less).</w:t>
            </w:r>
          </w:p>
        </w:tc>
        <w:tc>
          <w:tcPr>
            <w:tcW w:w="805" w:type="dxa"/>
            <w:vMerge/>
          </w:tcPr>
          <w:p w14:paraId="5B841E8C" w14:textId="77777777" w:rsidR="00B70336" w:rsidRDefault="00B70336"/>
        </w:tc>
      </w:tr>
      <w:tr w:rsidR="00B70336" w14:paraId="14210430" w14:textId="12DE1623" w:rsidTr="00D65F52">
        <w:tc>
          <w:tcPr>
            <w:tcW w:w="1126" w:type="dxa"/>
          </w:tcPr>
          <w:p w14:paraId="55A61214" w14:textId="2D9D34D4" w:rsidR="00B70336" w:rsidRDefault="00B70336">
            <w:pPr>
              <w:rPr>
                <w:b/>
                <w:bCs/>
              </w:rPr>
            </w:pPr>
            <w:r>
              <w:fldChar w:fldCharType="begin">
                <w:ffData>
                  <w:name w:val="Check3"/>
                  <w:enabled/>
                  <w:calcOnExit w:val="0"/>
                  <w:checkBox>
                    <w:sizeAuto/>
                    <w:default w:val="0"/>
                  </w:checkBox>
                </w:ffData>
              </w:fldChar>
            </w:r>
            <w:bookmarkStart w:id="5" w:name="Check3"/>
            <w:r>
              <w:instrText xml:space="preserve"> FORMCHECKBOX </w:instrText>
            </w:r>
            <w:r w:rsidR="00342B3F">
              <w:fldChar w:fldCharType="separate"/>
            </w:r>
            <w:r>
              <w:fldChar w:fldCharType="end"/>
            </w:r>
            <w:bookmarkEnd w:id="5"/>
            <w:r>
              <w:t xml:space="preserve"> High </w:t>
            </w:r>
            <w:r w:rsidRPr="00221A3D">
              <w:rPr>
                <w:color w:val="0070C0"/>
              </w:rPr>
              <w:t>(3)</w:t>
            </w:r>
          </w:p>
        </w:tc>
        <w:tc>
          <w:tcPr>
            <w:tcW w:w="7419" w:type="dxa"/>
          </w:tcPr>
          <w:p w14:paraId="5F106C8B" w14:textId="5319EAE6" w:rsidR="00B70336" w:rsidRDefault="00B70336">
            <w:pPr>
              <w:rPr>
                <w:b/>
                <w:bCs/>
              </w:rPr>
            </w:pPr>
            <w:r>
              <w:t xml:space="preserve">Subrecipient has minimal experience with similar subawards including direct grants </w:t>
            </w:r>
            <w:r w:rsidR="00E832F3">
              <w:t>from the same Federal Awarding Agency that issued the funds supporting your subaward</w:t>
            </w:r>
            <w:r>
              <w:t xml:space="preserve"> (2 years or less). </w:t>
            </w:r>
          </w:p>
        </w:tc>
        <w:tc>
          <w:tcPr>
            <w:tcW w:w="805" w:type="dxa"/>
            <w:vMerge/>
          </w:tcPr>
          <w:p w14:paraId="6D03E5EC" w14:textId="77777777" w:rsidR="00B70336" w:rsidRDefault="00B70336"/>
        </w:tc>
      </w:tr>
    </w:tbl>
    <w:p w14:paraId="19D7826D" w14:textId="3BAB1689" w:rsidR="0039330F" w:rsidRDefault="0039330F">
      <w:pPr>
        <w:rPr>
          <w:b/>
          <w:bCs/>
        </w:rPr>
      </w:pPr>
    </w:p>
    <w:p w14:paraId="59787C81" w14:textId="77777777" w:rsidR="00143328" w:rsidRDefault="00143328">
      <w:pPr>
        <w:rPr>
          <w:b/>
          <w:bCs/>
        </w:rPr>
      </w:pPr>
    </w:p>
    <w:tbl>
      <w:tblPr>
        <w:tblStyle w:val="TableGrid"/>
        <w:tblW w:w="0" w:type="auto"/>
        <w:tblLook w:val="04A0" w:firstRow="1" w:lastRow="0" w:firstColumn="1" w:lastColumn="0" w:noHBand="0" w:noVBand="1"/>
      </w:tblPr>
      <w:tblGrid>
        <w:gridCol w:w="1126"/>
        <w:gridCol w:w="7419"/>
        <w:gridCol w:w="805"/>
      </w:tblGrid>
      <w:tr w:rsidR="00B70336" w14:paraId="1CE6AD41" w14:textId="02DD511D" w:rsidTr="00D65F52">
        <w:tc>
          <w:tcPr>
            <w:tcW w:w="8545" w:type="dxa"/>
            <w:gridSpan w:val="2"/>
          </w:tcPr>
          <w:p w14:paraId="7DF78CEF" w14:textId="455F1C4F" w:rsidR="00B70336" w:rsidRDefault="00B70336" w:rsidP="007314F3">
            <w:pPr>
              <w:rPr>
                <w:b/>
                <w:bCs/>
              </w:rPr>
            </w:pPr>
            <w:r w:rsidRPr="0039330F">
              <w:rPr>
                <w:b/>
                <w:bCs/>
              </w:rPr>
              <w:t xml:space="preserve">Results of previous Single Audits </w:t>
            </w:r>
          </w:p>
        </w:tc>
        <w:tc>
          <w:tcPr>
            <w:tcW w:w="805" w:type="dxa"/>
          </w:tcPr>
          <w:p w14:paraId="7F7D885E" w14:textId="61AFEB29" w:rsidR="00B70336" w:rsidRPr="0039330F" w:rsidRDefault="00B70336" w:rsidP="007314F3">
            <w:pPr>
              <w:rPr>
                <w:b/>
                <w:bCs/>
              </w:rPr>
            </w:pPr>
            <w:r>
              <w:rPr>
                <w:b/>
                <w:bCs/>
              </w:rPr>
              <w:t>Score</w:t>
            </w:r>
          </w:p>
        </w:tc>
      </w:tr>
      <w:tr w:rsidR="00D65F52" w14:paraId="6F2088EC" w14:textId="6332A285" w:rsidTr="00D65F52">
        <w:tc>
          <w:tcPr>
            <w:tcW w:w="1126" w:type="dxa"/>
          </w:tcPr>
          <w:p w14:paraId="589156FA" w14:textId="274A68F1" w:rsidR="00D65F52" w:rsidRDefault="00D65F52" w:rsidP="007314F3">
            <w:pPr>
              <w:rPr>
                <w:b/>
                <w:bCs/>
              </w:rPr>
            </w:pPr>
            <w:r>
              <w:lastRenderedPageBreak/>
              <w:fldChar w:fldCharType="begin">
                <w:ffData>
                  <w:name w:val="Check1"/>
                  <w:enabled/>
                  <w:calcOnExit w:val="0"/>
                  <w:checkBox>
                    <w:sizeAuto/>
                    <w:default w:val="0"/>
                  </w:checkBox>
                </w:ffData>
              </w:fldChar>
            </w:r>
            <w:r>
              <w:instrText xml:space="preserve"> FORMCHECKBOX </w:instrText>
            </w:r>
            <w:r w:rsidR="00342B3F">
              <w:fldChar w:fldCharType="separate"/>
            </w:r>
            <w:r>
              <w:fldChar w:fldCharType="end"/>
            </w:r>
            <w:r>
              <w:t xml:space="preserve"> Low </w:t>
            </w:r>
            <w:r w:rsidRPr="00221A3D">
              <w:rPr>
                <w:color w:val="0070C0"/>
              </w:rPr>
              <w:t>(1)</w:t>
            </w:r>
          </w:p>
        </w:tc>
        <w:tc>
          <w:tcPr>
            <w:tcW w:w="7419" w:type="dxa"/>
          </w:tcPr>
          <w:p w14:paraId="7512D920" w14:textId="69714373" w:rsidR="00D65F52" w:rsidRDefault="00D65F52" w:rsidP="007314F3">
            <w:pPr>
              <w:rPr>
                <w:b/>
                <w:bCs/>
              </w:rPr>
            </w:pPr>
            <w:r>
              <w:t>Single Audit report was conducted timely with no findings</w:t>
            </w:r>
            <w:r w:rsidR="00A3265F">
              <w:t xml:space="preserve"> or findings that are not significant </w:t>
            </w:r>
            <w:r w:rsidR="003558A2">
              <w:t xml:space="preserve">or material to </w:t>
            </w:r>
            <w:r w:rsidR="008B23C9">
              <w:t>the program.</w:t>
            </w:r>
          </w:p>
        </w:tc>
        <w:tc>
          <w:tcPr>
            <w:tcW w:w="805" w:type="dxa"/>
            <w:vMerge w:val="restart"/>
          </w:tcPr>
          <w:p w14:paraId="2891C23A" w14:textId="77777777" w:rsidR="00D65F52" w:rsidRDefault="00D65F52" w:rsidP="007314F3"/>
        </w:tc>
      </w:tr>
      <w:tr w:rsidR="00D65F52" w14:paraId="0B06F2F6" w14:textId="7242BD3D" w:rsidTr="00D65F52">
        <w:tc>
          <w:tcPr>
            <w:tcW w:w="1126" w:type="dxa"/>
          </w:tcPr>
          <w:p w14:paraId="4E31BFF1" w14:textId="43D61AEC" w:rsidR="00D65F52" w:rsidRDefault="00D65F52" w:rsidP="007314F3">
            <w:pPr>
              <w:rPr>
                <w:b/>
                <w:bCs/>
              </w:rPr>
            </w:pPr>
            <w:r>
              <w:fldChar w:fldCharType="begin">
                <w:ffData>
                  <w:name w:val="Check2"/>
                  <w:enabled/>
                  <w:calcOnExit w:val="0"/>
                  <w:checkBox>
                    <w:sizeAuto/>
                    <w:default w:val="0"/>
                  </w:checkBox>
                </w:ffData>
              </w:fldChar>
            </w:r>
            <w:r>
              <w:instrText xml:space="preserve"> FORMCHECKBOX </w:instrText>
            </w:r>
            <w:r w:rsidR="00342B3F">
              <w:fldChar w:fldCharType="separate"/>
            </w:r>
            <w:r>
              <w:fldChar w:fldCharType="end"/>
            </w:r>
            <w:r>
              <w:t xml:space="preserve"> Medium </w:t>
            </w:r>
            <w:r w:rsidRPr="00221A3D">
              <w:rPr>
                <w:color w:val="0070C0"/>
              </w:rPr>
              <w:t>(2)</w:t>
            </w:r>
          </w:p>
        </w:tc>
        <w:tc>
          <w:tcPr>
            <w:tcW w:w="7419" w:type="dxa"/>
          </w:tcPr>
          <w:p w14:paraId="2C8C4088" w14:textId="5ABD9EBF" w:rsidR="00D65F52" w:rsidRDefault="00D65F52" w:rsidP="007314F3">
            <w:r>
              <w:t xml:space="preserve">Single Audit report was conducted timely with minimal findings; or </w:t>
            </w:r>
          </w:p>
          <w:p w14:paraId="621CEEED" w14:textId="1479DAEA" w:rsidR="00D65F52" w:rsidRDefault="00D65F52" w:rsidP="007314F3">
            <w:pPr>
              <w:rPr>
                <w:b/>
                <w:bCs/>
              </w:rPr>
            </w:pPr>
            <w:r>
              <w:t xml:space="preserve">Single Audit Report was not conducted timely </w:t>
            </w:r>
            <w:r w:rsidR="0061550B">
              <w:t>but</w:t>
            </w:r>
            <w:r>
              <w:t xml:space="preserve"> had no findings.</w:t>
            </w:r>
          </w:p>
        </w:tc>
        <w:tc>
          <w:tcPr>
            <w:tcW w:w="805" w:type="dxa"/>
            <w:vMerge/>
          </w:tcPr>
          <w:p w14:paraId="0562BB29" w14:textId="77777777" w:rsidR="00D65F52" w:rsidRDefault="00D65F52" w:rsidP="007314F3"/>
        </w:tc>
      </w:tr>
      <w:tr w:rsidR="00D65F52" w14:paraId="0E493067" w14:textId="1FC2C526" w:rsidTr="00D65F52">
        <w:tc>
          <w:tcPr>
            <w:tcW w:w="1126" w:type="dxa"/>
          </w:tcPr>
          <w:p w14:paraId="24A37A52" w14:textId="4C4D23E2" w:rsidR="00D65F52" w:rsidRDefault="00D65F52" w:rsidP="007314F3">
            <w:pPr>
              <w:rPr>
                <w:b/>
                <w:bCs/>
              </w:rPr>
            </w:pPr>
            <w:r>
              <w:fldChar w:fldCharType="begin">
                <w:ffData>
                  <w:name w:val="Check3"/>
                  <w:enabled/>
                  <w:calcOnExit w:val="0"/>
                  <w:checkBox>
                    <w:sizeAuto/>
                    <w:default w:val="0"/>
                  </w:checkBox>
                </w:ffData>
              </w:fldChar>
            </w:r>
            <w:r>
              <w:instrText xml:space="preserve"> FORMCHECKBOX </w:instrText>
            </w:r>
            <w:r w:rsidR="00342B3F">
              <w:fldChar w:fldCharType="separate"/>
            </w:r>
            <w:r>
              <w:fldChar w:fldCharType="end"/>
            </w:r>
            <w:r>
              <w:t xml:space="preserve"> High </w:t>
            </w:r>
            <w:r w:rsidRPr="00221A3D">
              <w:rPr>
                <w:color w:val="0070C0"/>
              </w:rPr>
              <w:t>(3)</w:t>
            </w:r>
          </w:p>
        </w:tc>
        <w:tc>
          <w:tcPr>
            <w:tcW w:w="7419" w:type="dxa"/>
          </w:tcPr>
          <w:p w14:paraId="271C933C" w14:textId="1346D65F" w:rsidR="00D65F52" w:rsidRDefault="00D65F52" w:rsidP="007314F3">
            <w:pPr>
              <w:rPr>
                <w:b/>
                <w:bCs/>
              </w:rPr>
            </w:pPr>
            <w:r>
              <w:t xml:space="preserve">Single Audit Report was conducted timely with findings for the HCA programs or general administration sections. </w:t>
            </w:r>
          </w:p>
        </w:tc>
        <w:tc>
          <w:tcPr>
            <w:tcW w:w="805" w:type="dxa"/>
            <w:vMerge/>
          </w:tcPr>
          <w:p w14:paraId="0E11F3F6" w14:textId="77777777" w:rsidR="00D65F52" w:rsidRDefault="00D65F52" w:rsidP="007314F3"/>
        </w:tc>
      </w:tr>
    </w:tbl>
    <w:p w14:paraId="2D8C647B" w14:textId="4C0CCB23" w:rsidR="0039330F" w:rsidRDefault="0039330F">
      <w:pPr>
        <w:rPr>
          <w:b/>
          <w:bCs/>
        </w:rPr>
      </w:pPr>
    </w:p>
    <w:tbl>
      <w:tblPr>
        <w:tblStyle w:val="TableGrid"/>
        <w:tblW w:w="0" w:type="auto"/>
        <w:tblLook w:val="04A0" w:firstRow="1" w:lastRow="0" w:firstColumn="1" w:lastColumn="0" w:noHBand="0" w:noVBand="1"/>
      </w:tblPr>
      <w:tblGrid>
        <w:gridCol w:w="1129"/>
        <w:gridCol w:w="7416"/>
        <w:gridCol w:w="805"/>
      </w:tblGrid>
      <w:tr w:rsidR="00D65F52" w14:paraId="6699B5E5" w14:textId="72C2D524" w:rsidTr="00D65F52">
        <w:tc>
          <w:tcPr>
            <w:tcW w:w="8545" w:type="dxa"/>
            <w:gridSpan w:val="2"/>
          </w:tcPr>
          <w:p w14:paraId="37B99BC5" w14:textId="0289AD30" w:rsidR="00D65F52" w:rsidRDefault="00D65F52" w:rsidP="007314F3">
            <w:pPr>
              <w:rPr>
                <w:b/>
                <w:bCs/>
              </w:rPr>
            </w:pPr>
            <w:r w:rsidRPr="0039330F">
              <w:rPr>
                <w:b/>
                <w:bCs/>
              </w:rPr>
              <w:t>Subrecipient administrative systems</w:t>
            </w:r>
          </w:p>
        </w:tc>
        <w:tc>
          <w:tcPr>
            <w:tcW w:w="805" w:type="dxa"/>
          </w:tcPr>
          <w:p w14:paraId="3777AF81" w14:textId="4F5034D3" w:rsidR="00D65F52" w:rsidRPr="0039330F" w:rsidRDefault="00D65F52" w:rsidP="007314F3">
            <w:pPr>
              <w:rPr>
                <w:b/>
                <w:bCs/>
              </w:rPr>
            </w:pPr>
            <w:r>
              <w:rPr>
                <w:b/>
                <w:bCs/>
              </w:rPr>
              <w:t>Score</w:t>
            </w:r>
          </w:p>
        </w:tc>
      </w:tr>
      <w:tr w:rsidR="00D65F52" w14:paraId="50F637E8" w14:textId="4F6B8741" w:rsidTr="00D65F52">
        <w:trPr>
          <w:trHeight w:val="368"/>
        </w:trPr>
        <w:tc>
          <w:tcPr>
            <w:tcW w:w="1129" w:type="dxa"/>
          </w:tcPr>
          <w:p w14:paraId="31E41086" w14:textId="59ED7CB0" w:rsidR="00D65F52" w:rsidRDefault="00D65F52" w:rsidP="007314F3">
            <w:pPr>
              <w:rPr>
                <w:b/>
                <w:bCs/>
              </w:rPr>
            </w:pPr>
            <w:r>
              <w:fldChar w:fldCharType="begin">
                <w:ffData>
                  <w:name w:val="Check1"/>
                  <w:enabled/>
                  <w:calcOnExit w:val="0"/>
                  <w:checkBox>
                    <w:sizeAuto/>
                    <w:default w:val="0"/>
                  </w:checkBox>
                </w:ffData>
              </w:fldChar>
            </w:r>
            <w:r>
              <w:instrText xml:space="preserve"> FORMCHECKBOX </w:instrText>
            </w:r>
            <w:r w:rsidR="00342B3F">
              <w:fldChar w:fldCharType="separate"/>
            </w:r>
            <w:r>
              <w:fldChar w:fldCharType="end"/>
            </w:r>
            <w:r>
              <w:t xml:space="preserve"> Low </w:t>
            </w:r>
            <w:r w:rsidRPr="00221A3D">
              <w:rPr>
                <w:color w:val="0070C0"/>
              </w:rPr>
              <w:t>(1)</w:t>
            </w:r>
          </w:p>
        </w:tc>
        <w:tc>
          <w:tcPr>
            <w:tcW w:w="7416" w:type="dxa"/>
          </w:tcPr>
          <w:p w14:paraId="155AA199" w14:textId="502B2B4E" w:rsidR="00D65F52" w:rsidRDefault="00D65F52" w:rsidP="007314F3">
            <w:pPr>
              <w:rPr>
                <w:b/>
                <w:bCs/>
              </w:rPr>
            </w:pPr>
            <w:r>
              <w:t xml:space="preserve">Subrecipient does not have new personnel and has not substantially changed systems. </w:t>
            </w:r>
          </w:p>
        </w:tc>
        <w:tc>
          <w:tcPr>
            <w:tcW w:w="805" w:type="dxa"/>
            <w:vMerge w:val="restart"/>
          </w:tcPr>
          <w:p w14:paraId="6B30B781" w14:textId="77777777" w:rsidR="00D65F52" w:rsidRDefault="00D65F52" w:rsidP="007314F3"/>
        </w:tc>
      </w:tr>
      <w:tr w:rsidR="00D65F52" w14:paraId="5F7D2052" w14:textId="616DF0B6" w:rsidTr="00D65F52">
        <w:tc>
          <w:tcPr>
            <w:tcW w:w="1129" w:type="dxa"/>
          </w:tcPr>
          <w:p w14:paraId="10CBAA82" w14:textId="13FC9FF2" w:rsidR="00D65F52" w:rsidRDefault="00D65F52" w:rsidP="007314F3">
            <w:pPr>
              <w:rPr>
                <w:b/>
                <w:bCs/>
              </w:rPr>
            </w:pPr>
            <w:r>
              <w:fldChar w:fldCharType="begin">
                <w:ffData>
                  <w:name w:val="Check2"/>
                  <w:enabled/>
                  <w:calcOnExit w:val="0"/>
                  <w:checkBox>
                    <w:sizeAuto/>
                    <w:default w:val="0"/>
                  </w:checkBox>
                </w:ffData>
              </w:fldChar>
            </w:r>
            <w:r>
              <w:instrText xml:space="preserve"> FORMCHECKBOX </w:instrText>
            </w:r>
            <w:r w:rsidR="00342B3F">
              <w:fldChar w:fldCharType="separate"/>
            </w:r>
            <w:r>
              <w:fldChar w:fldCharType="end"/>
            </w:r>
            <w:r>
              <w:t xml:space="preserve"> Medium </w:t>
            </w:r>
            <w:r w:rsidRPr="00221A3D">
              <w:rPr>
                <w:color w:val="0070C0"/>
              </w:rPr>
              <w:t>(2)</w:t>
            </w:r>
          </w:p>
        </w:tc>
        <w:tc>
          <w:tcPr>
            <w:tcW w:w="7416" w:type="dxa"/>
          </w:tcPr>
          <w:p w14:paraId="1EAC9FDA" w14:textId="05F49A09" w:rsidR="00D65F52" w:rsidRPr="0039330F" w:rsidRDefault="00D65F52" w:rsidP="007314F3">
            <w:r w:rsidRPr="0039330F">
              <w:t>Subrecipient has new personnel, but systems have not substantially changed</w:t>
            </w:r>
            <w:r>
              <w:t>; or subrecipient has new systems, but personnel are the same.</w:t>
            </w:r>
          </w:p>
        </w:tc>
        <w:tc>
          <w:tcPr>
            <w:tcW w:w="805" w:type="dxa"/>
            <w:vMerge/>
          </w:tcPr>
          <w:p w14:paraId="51B86C21" w14:textId="77777777" w:rsidR="00D65F52" w:rsidRPr="0039330F" w:rsidRDefault="00D65F52" w:rsidP="007314F3"/>
        </w:tc>
      </w:tr>
      <w:tr w:rsidR="00D65F52" w14:paraId="0B53A050" w14:textId="2842FFA1" w:rsidTr="00D65F52">
        <w:tc>
          <w:tcPr>
            <w:tcW w:w="1129" w:type="dxa"/>
          </w:tcPr>
          <w:p w14:paraId="5E4DD77C" w14:textId="28815291" w:rsidR="00D65F52" w:rsidRDefault="00D65F52" w:rsidP="007314F3">
            <w:pPr>
              <w:rPr>
                <w:b/>
                <w:bCs/>
              </w:rPr>
            </w:pPr>
            <w:r>
              <w:fldChar w:fldCharType="begin">
                <w:ffData>
                  <w:name w:val="Check3"/>
                  <w:enabled/>
                  <w:calcOnExit w:val="0"/>
                  <w:checkBox>
                    <w:sizeAuto/>
                    <w:default w:val="0"/>
                  </w:checkBox>
                </w:ffData>
              </w:fldChar>
            </w:r>
            <w:r>
              <w:instrText xml:space="preserve"> FORMCHECKBOX </w:instrText>
            </w:r>
            <w:r w:rsidR="00342B3F">
              <w:fldChar w:fldCharType="separate"/>
            </w:r>
            <w:r>
              <w:fldChar w:fldCharType="end"/>
            </w:r>
            <w:r>
              <w:t xml:space="preserve"> High </w:t>
            </w:r>
            <w:r w:rsidRPr="00221A3D">
              <w:rPr>
                <w:color w:val="0070C0"/>
              </w:rPr>
              <w:t>(3)</w:t>
            </w:r>
          </w:p>
        </w:tc>
        <w:tc>
          <w:tcPr>
            <w:tcW w:w="7416" w:type="dxa"/>
          </w:tcPr>
          <w:p w14:paraId="6B5086E3" w14:textId="520B37D1" w:rsidR="00D65F52" w:rsidRDefault="00D65F52" w:rsidP="007314F3">
            <w:pPr>
              <w:rPr>
                <w:b/>
                <w:bCs/>
              </w:rPr>
            </w:pPr>
            <w:r>
              <w:t>Subrecipient has new personnel and significant changes in systems.</w:t>
            </w:r>
          </w:p>
        </w:tc>
        <w:tc>
          <w:tcPr>
            <w:tcW w:w="805" w:type="dxa"/>
            <w:vMerge/>
          </w:tcPr>
          <w:p w14:paraId="2D557B76" w14:textId="77777777" w:rsidR="00D65F52" w:rsidRDefault="00D65F52" w:rsidP="007314F3"/>
        </w:tc>
      </w:tr>
    </w:tbl>
    <w:p w14:paraId="662BC1E0" w14:textId="033B445D" w:rsidR="0039330F" w:rsidRDefault="0039330F">
      <w:pPr>
        <w:rPr>
          <w:b/>
          <w:bCs/>
        </w:rPr>
      </w:pPr>
    </w:p>
    <w:tbl>
      <w:tblPr>
        <w:tblStyle w:val="TableGrid"/>
        <w:tblW w:w="0" w:type="auto"/>
        <w:tblLook w:val="04A0" w:firstRow="1" w:lastRow="0" w:firstColumn="1" w:lastColumn="0" w:noHBand="0" w:noVBand="1"/>
      </w:tblPr>
      <w:tblGrid>
        <w:gridCol w:w="1128"/>
        <w:gridCol w:w="7417"/>
        <w:gridCol w:w="805"/>
      </w:tblGrid>
      <w:tr w:rsidR="00D27CAF" w14:paraId="51D0D9DE" w14:textId="5B61308F" w:rsidTr="00D27CAF">
        <w:tc>
          <w:tcPr>
            <w:tcW w:w="8545" w:type="dxa"/>
            <w:gridSpan w:val="2"/>
          </w:tcPr>
          <w:p w14:paraId="6CE96B93" w14:textId="4FA68F97" w:rsidR="00D27CAF" w:rsidRDefault="00D27CAF" w:rsidP="007314F3">
            <w:pPr>
              <w:rPr>
                <w:b/>
                <w:bCs/>
              </w:rPr>
            </w:pPr>
            <w:r w:rsidRPr="0039330F">
              <w:rPr>
                <w:b/>
                <w:bCs/>
              </w:rPr>
              <w:t>Results from a Federal Awarding Agency</w:t>
            </w:r>
            <w:r w:rsidRPr="001A2628">
              <w:rPr>
                <w:b/>
                <w:bCs/>
                <w:color w:val="0070C0"/>
              </w:rPr>
              <w:t xml:space="preserve"> </w:t>
            </w:r>
            <w:r>
              <w:rPr>
                <w:b/>
                <w:bCs/>
                <w:color w:val="0070C0"/>
              </w:rPr>
              <w:t>(</w:t>
            </w:r>
            <w:r w:rsidRPr="001A2628">
              <w:rPr>
                <w:b/>
                <w:bCs/>
                <w:color w:val="0070C0"/>
              </w:rPr>
              <w:t>If applicable</w:t>
            </w:r>
            <w:r>
              <w:rPr>
                <w:b/>
                <w:bCs/>
                <w:color w:val="0070C0"/>
              </w:rPr>
              <w:t xml:space="preserve"> – see </w:t>
            </w:r>
            <w:r w:rsidRPr="00F300E7">
              <w:rPr>
                <w:b/>
                <w:bCs/>
                <w:color w:val="0070C0"/>
              </w:rPr>
              <w:t>2 CFR 200.332(b)(4) below</w:t>
            </w:r>
            <w:r>
              <w:rPr>
                <w:b/>
                <w:bCs/>
                <w:color w:val="0070C0"/>
              </w:rPr>
              <w:t>)</w:t>
            </w:r>
            <w:r w:rsidR="0096701E">
              <w:rPr>
                <w:b/>
                <w:bCs/>
                <w:color w:val="0070C0"/>
              </w:rPr>
              <w:t xml:space="preserve">. </w:t>
            </w:r>
            <w:r w:rsidR="0096701E" w:rsidRPr="002200FD">
              <w:rPr>
                <w:i/>
                <w:iCs/>
              </w:rPr>
              <w:t xml:space="preserve">Federal Awarding Agency reports must be </w:t>
            </w:r>
            <w:r w:rsidR="00873EDF" w:rsidRPr="002200FD">
              <w:rPr>
                <w:i/>
                <w:iCs/>
              </w:rPr>
              <w:t xml:space="preserve">either </w:t>
            </w:r>
            <w:r w:rsidR="00603678" w:rsidRPr="002200FD">
              <w:rPr>
                <w:i/>
                <w:iCs/>
              </w:rPr>
              <w:t xml:space="preserve">from the same Federal Awarding Agency </w:t>
            </w:r>
            <w:r w:rsidR="00E64B4E" w:rsidRPr="002200FD">
              <w:rPr>
                <w:i/>
                <w:iCs/>
              </w:rPr>
              <w:t xml:space="preserve">that issued the federal funds supporting your subaward </w:t>
            </w:r>
            <w:r w:rsidR="00C91A4D" w:rsidRPr="002200FD">
              <w:rPr>
                <w:i/>
                <w:iCs/>
              </w:rPr>
              <w:t>or</w:t>
            </w:r>
            <w:r w:rsidR="00220C9D" w:rsidRPr="002200FD">
              <w:rPr>
                <w:i/>
                <w:iCs/>
              </w:rPr>
              <w:t xml:space="preserve"> from a different Federal Awarding Agency but</w:t>
            </w:r>
            <w:r w:rsidR="00C91A4D" w:rsidRPr="002200FD">
              <w:rPr>
                <w:i/>
                <w:iCs/>
              </w:rPr>
              <w:t xml:space="preserve"> </w:t>
            </w:r>
            <w:r w:rsidR="0029340D" w:rsidRPr="002200FD">
              <w:rPr>
                <w:i/>
                <w:iCs/>
              </w:rPr>
              <w:t>regarding general administration of federal funds</w:t>
            </w:r>
            <w:r w:rsidR="0096701E" w:rsidRPr="002200FD">
              <w:rPr>
                <w:i/>
                <w:iCs/>
              </w:rPr>
              <w:t>.</w:t>
            </w:r>
            <w:r w:rsidR="0096701E" w:rsidRPr="003A1500">
              <w:rPr>
                <w:b/>
                <w:bCs/>
              </w:rPr>
              <w:t xml:space="preserve"> </w:t>
            </w:r>
          </w:p>
        </w:tc>
        <w:tc>
          <w:tcPr>
            <w:tcW w:w="805" w:type="dxa"/>
          </w:tcPr>
          <w:p w14:paraId="3A90BFA8" w14:textId="4863466A" w:rsidR="00D27CAF" w:rsidRPr="0039330F" w:rsidRDefault="00D27CAF" w:rsidP="007314F3">
            <w:pPr>
              <w:rPr>
                <w:b/>
                <w:bCs/>
              </w:rPr>
            </w:pPr>
            <w:r>
              <w:rPr>
                <w:b/>
                <w:bCs/>
              </w:rPr>
              <w:t>Score</w:t>
            </w:r>
          </w:p>
        </w:tc>
      </w:tr>
      <w:tr w:rsidR="00D27CAF" w14:paraId="36C4FC0C" w14:textId="586187D6" w:rsidTr="00D27CAF">
        <w:tc>
          <w:tcPr>
            <w:tcW w:w="1128" w:type="dxa"/>
          </w:tcPr>
          <w:p w14:paraId="5442F00A" w14:textId="3B01A8D2" w:rsidR="00D27CAF" w:rsidRDefault="00D27CAF" w:rsidP="007314F3">
            <w:pPr>
              <w:rPr>
                <w:b/>
                <w:bCs/>
              </w:rPr>
            </w:pPr>
            <w:r>
              <w:fldChar w:fldCharType="begin">
                <w:ffData>
                  <w:name w:val="Check1"/>
                  <w:enabled/>
                  <w:calcOnExit w:val="0"/>
                  <w:checkBox>
                    <w:sizeAuto/>
                    <w:default w:val="0"/>
                  </w:checkBox>
                </w:ffData>
              </w:fldChar>
            </w:r>
            <w:r>
              <w:instrText xml:space="preserve"> FORMCHECKBOX </w:instrText>
            </w:r>
            <w:r w:rsidR="00342B3F">
              <w:fldChar w:fldCharType="separate"/>
            </w:r>
            <w:r>
              <w:fldChar w:fldCharType="end"/>
            </w:r>
            <w:r>
              <w:t xml:space="preserve"> Low </w:t>
            </w:r>
            <w:r w:rsidRPr="00221A3D">
              <w:rPr>
                <w:color w:val="0070C0"/>
              </w:rPr>
              <w:t>(1)</w:t>
            </w:r>
          </w:p>
        </w:tc>
        <w:tc>
          <w:tcPr>
            <w:tcW w:w="7417" w:type="dxa"/>
          </w:tcPr>
          <w:p w14:paraId="26FF9A08" w14:textId="77A57679" w:rsidR="00D27CAF" w:rsidRDefault="00D27CAF" w:rsidP="007314F3">
            <w:pPr>
              <w:rPr>
                <w:b/>
                <w:bCs/>
              </w:rPr>
            </w:pPr>
            <w:r>
              <w:t>Subrecipient does not have concerns reported in a federal awarding agency monitoring report.</w:t>
            </w:r>
            <w:r w:rsidR="0096701E">
              <w:t xml:space="preserve"> </w:t>
            </w:r>
          </w:p>
        </w:tc>
        <w:tc>
          <w:tcPr>
            <w:tcW w:w="805" w:type="dxa"/>
            <w:vMerge w:val="restart"/>
          </w:tcPr>
          <w:p w14:paraId="30A4F66F" w14:textId="77777777" w:rsidR="00D27CAF" w:rsidRDefault="00D27CAF" w:rsidP="007314F3"/>
        </w:tc>
      </w:tr>
      <w:tr w:rsidR="00D27CAF" w14:paraId="4A68D859" w14:textId="5C40D41A" w:rsidTr="00D27CAF">
        <w:tc>
          <w:tcPr>
            <w:tcW w:w="1128" w:type="dxa"/>
          </w:tcPr>
          <w:p w14:paraId="3E063BB7" w14:textId="3CD89163" w:rsidR="00D27CAF" w:rsidRDefault="00D27CAF" w:rsidP="007314F3">
            <w:pPr>
              <w:rPr>
                <w:b/>
                <w:bCs/>
              </w:rPr>
            </w:pPr>
            <w:r>
              <w:fldChar w:fldCharType="begin">
                <w:ffData>
                  <w:name w:val="Check2"/>
                  <w:enabled/>
                  <w:calcOnExit w:val="0"/>
                  <w:checkBox>
                    <w:sizeAuto/>
                    <w:default w:val="0"/>
                  </w:checkBox>
                </w:ffData>
              </w:fldChar>
            </w:r>
            <w:r>
              <w:instrText xml:space="preserve"> FORMCHECKBOX </w:instrText>
            </w:r>
            <w:r w:rsidR="00342B3F">
              <w:fldChar w:fldCharType="separate"/>
            </w:r>
            <w:r>
              <w:fldChar w:fldCharType="end"/>
            </w:r>
            <w:r>
              <w:t xml:space="preserve"> Medium </w:t>
            </w:r>
            <w:r w:rsidRPr="00221A3D">
              <w:rPr>
                <w:color w:val="0070C0"/>
              </w:rPr>
              <w:t>(2)</w:t>
            </w:r>
          </w:p>
        </w:tc>
        <w:tc>
          <w:tcPr>
            <w:tcW w:w="7417" w:type="dxa"/>
          </w:tcPr>
          <w:p w14:paraId="43BD2608" w14:textId="17A43DB5" w:rsidR="00D27CAF" w:rsidRDefault="00D27CAF" w:rsidP="007314F3">
            <w:pPr>
              <w:rPr>
                <w:b/>
                <w:bCs/>
              </w:rPr>
            </w:pPr>
            <w:r>
              <w:t>Concerns were documented in a federal awarding agency monitoring report, but no corrective action plans are documented.</w:t>
            </w:r>
          </w:p>
        </w:tc>
        <w:tc>
          <w:tcPr>
            <w:tcW w:w="805" w:type="dxa"/>
            <w:vMerge/>
          </w:tcPr>
          <w:p w14:paraId="3E15E29B" w14:textId="77777777" w:rsidR="00D27CAF" w:rsidRDefault="00D27CAF" w:rsidP="007314F3"/>
        </w:tc>
      </w:tr>
      <w:tr w:rsidR="00D27CAF" w14:paraId="0B01B2D8" w14:textId="50F108C8" w:rsidTr="00D27CAF">
        <w:tc>
          <w:tcPr>
            <w:tcW w:w="1128" w:type="dxa"/>
          </w:tcPr>
          <w:p w14:paraId="3340A733" w14:textId="16C60CE1" w:rsidR="00D27CAF" w:rsidRDefault="00D27CAF" w:rsidP="007314F3">
            <w:pPr>
              <w:rPr>
                <w:b/>
                <w:bCs/>
              </w:rPr>
            </w:pPr>
            <w:r>
              <w:fldChar w:fldCharType="begin">
                <w:ffData>
                  <w:name w:val="Check3"/>
                  <w:enabled/>
                  <w:calcOnExit w:val="0"/>
                  <w:checkBox>
                    <w:sizeAuto/>
                    <w:default w:val="0"/>
                  </w:checkBox>
                </w:ffData>
              </w:fldChar>
            </w:r>
            <w:r>
              <w:instrText xml:space="preserve"> FORMCHECKBOX </w:instrText>
            </w:r>
            <w:r w:rsidR="00342B3F">
              <w:fldChar w:fldCharType="separate"/>
            </w:r>
            <w:r>
              <w:fldChar w:fldCharType="end"/>
            </w:r>
            <w:r>
              <w:t xml:space="preserve"> High </w:t>
            </w:r>
            <w:r w:rsidRPr="00221A3D">
              <w:rPr>
                <w:color w:val="0070C0"/>
              </w:rPr>
              <w:t>(3)</w:t>
            </w:r>
          </w:p>
        </w:tc>
        <w:tc>
          <w:tcPr>
            <w:tcW w:w="7417" w:type="dxa"/>
          </w:tcPr>
          <w:p w14:paraId="525B1356" w14:textId="2F6DDA20" w:rsidR="00D27CAF" w:rsidRDefault="00D27CAF" w:rsidP="007314F3">
            <w:pPr>
              <w:rPr>
                <w:b/>
                <w:bCs/>
              </w:rPr>
            </w:pPr>
            <w:r>
              <w:t>Concerns were documented in a federal awarding agency monitoring report and corrective action plan was developed.</w:t>
            </w:r>
          </w:p>
        </w:tc>
        <w:tc>
          <w:tcPr>
            <w:tcW w:w="805" w:type="dxa"/>
            <w:vMerge/>
          </w:tcPr>
          <w:p w14:paraId="49EAC489" w14:textId="77777777" w:rsidR="00D27CAF" w:rsidRDefault="00D27CAF" w:rsidP="007314F3"/>
        </w:tc>
      </w:tr>
    </w:tbl>
    <w:p w14:paraId="13BA4B5A" w14:textId="77777777" w:rsidR="0039330F" w:rsidRDefault="0039330F">
      <w:pPr>
        <w:rPr>
          <w:b/>
          <w:bCs/>
        </w:rPr>
      </w:pPr>
    </w:p>
    <w:tbl>
      <w:tblPr>
        <w:tblStyle w:val="TableGrid"/>
        <w:tblW w:w="0" w:type="auto"/>
        <w:tblLook w:val="04A0" w:firstRow="1" w:lastRow="0" w:firstColumn="1" w:lastColumn="0" w:noHBand="0" w:noVBand="1"/>
      </w:tblPr>
      <w:tblGrid>
        <w:gridCol w:w="1128"/>
        <w:gridCol w:w="7417"/>
        <w:gridCol w:w="805"/>
      </w:tblGrid>
      <w:tr w:rsidR="00D27CAF" w14:paraId="02F8DDAF" w14:textId="66DA7168" w:rsidTr="00D27CAF">
        <w:tc>
          <w:tcPr>
            <w:tcW w:w="8545" w:type="dxa"/>
            <w:gridSpan w:val="2"/>
            <w:tcBorders>
              <w:top w:val="single" w:sz="4" w:space="0" w:color="auto"/>
              <w:left w:val="single" w:sz="4" w:space="0" w:color="auto"/>
              <w:bottom w:val="single" w:sz="4" w:space="0" w:color="auto"/>
              <w:right w:val="single" w:sz="4" w:space="0" w:color="auto"/>
            </w:tcBorders>
            <w:hideMark/>
          </w:tcPr>
          <w:p w14:paraId="24B9B246" w14:textId="345EBDFE" w:rsidR="00D27CAF" w:rsidRDefault="003A1500" w:rsidP="002200FD">
            <w:pPr>
              <w:tabs>
                <w:tab w:val="left" w:pos="4560"/>
              </w:tabs>
              <w:rPr>
                <w:b/>
                <w:bCs/>
              </w:rPr>
            </w:pPr>
            <w:r>
              <w:rPr>
                <w:b/>
                <w:bCs/>
              </w:rPr>
              <w:t xml:space="preserve">Reporting Timeliness and </w:t>
            </w:r>
            <w:r w:rsidR="00D27CAF">
              <w:rPr>
                <w:b/>
                <w:bCs/>
              </w:rPr>
              <w:t>Funding Utilization</w:t>
            </w:r>
            <w:r w:rsidR="00B31E28">
              <w:rPr>
                <w:b/>
                <w:bCs/>
              </w:rPr>
              <w:t xml:space="preserve"> </w:t>
            </w:r>
            <w:r w:rsidR="00B31E28" w:rsidRPr="00BC37A8">
              <w:rPr>
                <w:b/>
                <w:bCs/>
                <w:color w:val="0070C0"/>
              </w:rPr>
              <w:t>(HCA will consider delays due to HCA internal processes)</w:t>
            </w:r>
            <w:r w:rsidR="00AF6172" w:rsidRPr="00BC37A8">
              <w:rPr>
                <w:b/>
                <w:bCs/>
              </w:rPr>
              <w:tab/>
            </w:r>
          </w:p>
        </w:tc>
        <w:tc>
          <w:tcPr>
            <w:tcW w:w="805" w:type="dxa"/>
            <w:tcBorders>
              <w:top w:val="single" w:sz="4" w:space="0" w:color="auto"/>
              <w:left w:val="single" w:sz="4" w:space="0" w:color="auto"/>
              <w:bottom w:val="single" w:sz="4" w:space="0" w:color="auto"/>
              <w:right w:val="single" w:sz="4" w:space="0" w:color="auto"/>
            </w:tcBorders>
          </w:tcPr>
          <w:p w14:paraId="653D91F9" w14:textId="1943D636" w:rsidR="00D27CAF" w:rsidRDefault="00D27CAF">
            <w:pPr>
              <w:rPr>
                <w:b/>
                <w:bCs/>
              </w:rPr>
            </w:pPr>
            <w:r>
              <w:rPr>
                <w:b/>
                <w:bCs/>
              </w:rPr>
              <w:t>Score</w:t>
            </w:r>
          </w:p>
        </w:tc>
      </w:tr>
      <w:tr w:rsidR="00D27CAF" w14:paraId="3743F70E" w14:textId="30BF2C7F" w:rsidTr="00BA70B6">
        <w:trPr>
          <w:trHeight w:val="395"/>
        </w:trPr>
        <w:tc>
          <w:tcPr>
            <w:tcW w:w="1128" w:type="dxa"/>
            <w:tcBorders>
              <w:top w:val="single" w:sz="4" w:space="0" w:color="auto"/>
              <w:left w:val="single" w:sz="4" w:space="0" w:color="auto"/>
              <w:bottom w:val="single" w:sz="4" w:space="0" w:color="auto"/>
              <w:right w:val="single" w:sz="4" w:space="0" w:color="auto"/>
            </w:tcBorders>
            <w:hideMark/>
          </w:tcPr>
          <w:p w14:paraId="205D232C" w14:textId="2D15BB77" w:rsidR="00D27CAF" w:rsidRDefault="00D27CAF">
            <w:pPr>
              <w:rPr>
                <w:b/>
                <w:bCs/>
              </w:rPr>
            </w:pPr>
            <w:r>
              <w:fldChar w:fldCharType="begin">
                <w:ffData>
                  <w:name w:val="Check1"/>
                  <w:enabled/>
                  <w:calcOnExit w:val="0"/>
                  <w:checkBox>
                    <w:sizeAuto/>
                    <w:default w:val="0"/>
                  </w:checkBox>
                </w:ffData>
              </w:fldChar>
            </w:r>
            <w:r>
              <w:instrText xml:space="preserve"> FORMCHECKBOX </w:instrText>
            </w:r>
            <w:r w:rsidR="00342B3F">
              <w:fldChar w:fldCharType="separate"/>
            </w:r>
            <w:r>
              <w:fldChar w:fldCharType="end"/>
            </w:r>
            <w:r>
              <w:t xml:space="preserve"> Low </w:t>
            </w:r>
            <w:r w:rsidRPr="00221A3D">
              <w:rPr>
                <w:color w:val="0070C0"/>
              </w:rPr>
              <w:t>(1)</w:t>
            </w:r>
          </w:p>
        </w:tc>
        <w:tc>
          <w:tcPr>
            <w:tcW w:w="7417" w:type="dxa"/>
            <w:tcBorders>
              <w:top w:val="single" w:sz="4" w:space="0" w:color="auto"/>
              <w:left w:val="single" w:sz="4" w:space="0" w:color="auto"/>
              <w:bottom w:val="single" w:sz="4" w:space="0" w:color="auto"/>
              <w:right w:val="single" w:sz="4" w:space="0" w:color="auto"/>
            </w:tcBorders>
          </w:tcPr>
          <w:p w14:paraId="174E70A4" w14:textId="122836A6" w:rsidR="00D27CAF" w:rsidRDefault="00D27CAF">
            <w:pPr>
              <w:rPr>
                <w:b/>
                <w:bCs/>
              </w:rPr>
            </w:pPr>
            <w:r w:rsidRPr="002200FD">
              <w:t>Spending report</w:t>
            </w:r>
            <w:r w:rsidR="00120B69" w:rsidRPr="002200FD">
              <w:t>s are submitted timely and accurately</w:t>
            </w:r>
            <w:r w:rsidR="00BA2150" w:rsidRPr="002200FD">
              <w:t xml:space="preserve"> or with minimal delays</w:t>
            </w:r>
            <w:r w:rsidR="003A1500" w:rsidRPr="002200FD">
              <w:t>;</w:t>
            </w:r>
            <w:r w:rsidR="003A1500">
              <w:t xml:space="preserve"> </w:t>
            </w:r>
            <w:r>
              <w:t>spending pattern is appropriate for the program</w:t>
            </w:r>
            <w:r w:rsidR="00440007">
              <w:t xml:space="preserve"> or includes over/underspend with prior HCA </w:t>
            </w:r>
            <w:r w:rsidR="00B01E8A">
              <w:t>notification or review</w:t>
            </w:r>
            <w:r>
              <w:t>.</w:t>
            </w:r>
          </w:p>
        </w:tc>
        <w:tc>
          <w:tcPr>
            <w:tcW w:w="805" w:type="dxa"/>
            <w:vMerge w:val="restart"/>
            <w:tcBorders>
              <w:top w:val="single" w:sz="4" w:space="0" w:color="auto"/>
              <w:left w:val="single" w:sz="4" w:space="0" w:color="auto"/>
              <w:right w:val="single" w:sz="4" w:space="0" w:color="auto"/>
            </w:tcBorders>
          </w:tcPr>
          <w:p w14:paraId="311AC9AC" w14:textId="77777777" w:rsidR="00D27CAF" w:rsidRDefault="00D27CAF"/>
        </w:tc>
      </w:tr>
      <w:tr w:rsidR="00D27CAF" w14:paraId="4C0DFEE0" w14:textId="7863FAAE" w:rsidTr="00BA70B6">
        <w:tc>
          <w:tcPr>
            <w:tcW w:w="1128" w:type="dxa"/>
            <w:tcBorders>
              <w:top w:val="single" w:sz="4" w:space="0" w:color="auto"/>
              <w:left w:val="single" w:sz="4" w:space="0" w:color="auto"/>
              <w:bottom w:val="single" w:sz="4" w:space="0" w:color="auto"/>
              <w:right w:val="single" w:sz="4" w:space="0" w:color="auto"/>
            </w:tcBorders>
            <w:hideMark/>
          </w:tcPr>
          <w:p w14:paraId="4569A5C2" w14:textId="70241812" w:rsidR="00D27CAF" w:rsidRDefault="00D27CAF">
            <w:pPr>
              <w:rPr>
                <w:b/>
                <w:bCs/>
              </w:rPr>
            </w:pPr>
            <w:r>
              <w:fldChar w:fldCharType="begin">
                <w:ffData>
                  <w:name w:val="Check2"/>
                  <w:enabled/>
                  <w:calcOnExit w:val="0"/>
                  <w:checkBox>
                    <w:sizeAuto/>
                    <w:default w:val="0"/>
                  </w:checkBox>
                </w:ffData>
              </w:fldChar>
            </w:r>
            <w:r>
              <w:instrText xml:space="preserve"> FORMCHECKBOX </w:instrText>
            </w:r>
            <w:r w:rsidR="00342B3F">
              <w:fldChar w:fldCharType="separate"/>
            </w:r>
            <w:r>
              <w:fldChar w:fldCharType="end"/>
            </w:r>
            <w:r>
              <w:t xml:space="preserve"> Medium </w:t>
            </w:r>
            <w:r w:rsidRPr="00221A3D">
              <w:rPr>
                <w:color w:val="0070C0"/>
              </w:rPr>
              <w:t>(2)</w:t>
            </w:r>
          </w:p>
        </w:tc>
        <w:tc>
          <w:tcPr>
            <w:tcW w:w="7417" w:type="dxa"/>
            <w:tcBorders>
              <w:top w:val="single" w:sz="4" w:space="0" w:color="auto"/>
              <w:left w:val="single" w:sz="4" w:space="0" w:color="auto"/>
              <w:bottom w:val="single" w:sz="4" w:space="0" w:color="auto"/>
              <w:right w:val="single" w:sz="4" w:space="0" w:color="auto"/>
            </w:tcBorders>
            <w:hideMark/>
          </w:tcPr>
          <w:p w14:paraId="0108DCDF" w14:textId="7EBBE770" w:rsidR="00D27CAF" w:rsidRDefault="00D27CAF">
            <w:r>
              <w:t xml:space="preserve">Spending reported timely </w:t>
            </w:r>
            <w:r w:rsidR="00114713">
              <w:t xml:space="preserve">but with </w:t>
            </w:r>
            <w:r w:rsidR="00640E4B">
              <w:t>multiple iterations required or</w:t>
            </w:r>
            <w:r>
              <w:t xml:space="preserve"> spending pattern includes under or overspending with justification</w:t>
            </w:r>
            <w:r w:rsidR="00AA4C21">
              <w:t xml:space="preserve"> but without</w:t>
            </w:r>
            <w:r w:rsidR="0045466F">
              <w:t xml:space="preserve"> prior HCA </w:t>
            </w:r>
            <w:r w:rsidR="00B01E8A">
              <w:t>notification or review</w:t>
            </w:r>
            <w:r>
              <w:t>.</w:t>
            </w:r>
          </w:p>
        </w:tc>
        <w:tc>
          <w:tcPr>
            <w:tcW w:w="805" w:type="dxa"/>
            <w:vMerge/>
            <w:tcBorders>
              <w:left w:val="single" w:sz="4" w:space="0" w:color="auto"/>
              <w:right w:val="single" w:sz="4" w:space="0" w:color="auto"/>
            </w:tcBorders>
          </w:tcPr>
          <w:p w14:paraId="2E94E09F" w14:textId="77777777" w:rsidR="00D27CAF" w:rsidRDefault="00D27CAF"/>
        </w:tc>
      </w:tr>
      <w:tr w:rsidR="00D27CAF" w14:paraId="4E2F54D3" w14:textId="3BE0E396" w:rsidTr="00BA70B6">
        <w:tc>
          <w:tcPr>
            <w:tcW w:w="1128" w:type="dxa"/>
            <w:tcBorders>
              <w:top w:val="single" w:sz="4" w:space="0" w:color="auto"/>
              <w:left w:val="single" w:sz="4" w:space="0" w:color="auto"/>
              <w:bottom w:val="single" w:sz="4" w:space="0" w:color="auto"/>
              <w:right w:val="single" w:sz="4" w:space="0" w:color="auto"/>
            </w:tcBorders>
            <w:hideMark/>
          </w:tcPr>
          <w:p w14:paraId="4FF7A321" w14:textId="02DB16C6" w:rsidR="00D27CAF" w:rsidRDefault="00D27CAF">
            <w:pPr>
              <w:rPr>
                <w:b/>
                <w:bCs/>
              </w:rPr>
            </w:pPr>
            <w:r>
              <w:fldChar w:fldCharType="begin">
                <w:ffData>
                  <w:name w:val=""/>
                  <w:enabled/>
                  <w:calcOnExit w:val="0"/>
                  <w:checkBox>
                    <w:sizeAuto/>
                    <w:default w:val="0"/>
                  </w:checkBox>
                </w:ffData>
              </w:fldChar>
            </w:r>
            <w:r>
              <w:instrText xml:space="preserve"> FORMCHECKBOX </w:instrText>
            </w:r>
            <w:r w:rsidR="00342B3F">
              <w:fldChar w:fldCharType="separate"/>
            </w:r>
            <w:r>
              <w:fldChar w:fldCharType="end"/>
            </w:r>
            <w:r>
              <w:t xml:space="preserve"> High </w:t>
            </w:r>
            <w:r w:rsidRPr="00221A3D">
              <w:rPr>
                <w:color w:val="0070C0"/>
              </w:rPr>
              <w:t>(3)</w:t>
            </w:r>
          </w:p>
        </w:tc>
        <w:tc>
          <w:tcPr>
            <w:tcW w:w="7417" w:type="dxa"/>
            <w:tcBorders>
              <w:top w:val="single" w:sz="4" w:space="0" w:color="auto"/>
              <w:left w:val="single" w:sz="4" w:space="0" w:color="auto"/>
              <w:bottom w:val="single" w:sz="4" w:space="0" w:color="auto"/>
              <w:right w:val="single" w:sz="4" w:space="0" w:color="auto"/>
            </w:tcBorders>
            <w:hideMark/>
          </w:tcPr>
          <w:p w14:paraId="6A3A006D" w14:textId="7C1FA98F" w:rsidR="00D27CAF" w:rsidRDefault="0063067B">
            <w:pPr>
              <w:rPr>
                <w:b/>
                <w:bCs/>
              </w:rPr>
            </w:pPr>
            <w:r>
              <w:t xml:space="preserve">Subrecipient has no historical </w:t>
            </w:r>
            <w:r w:rsidR="009C2AD8">
              <w:t xml:space="preserve">spend reported to HCA or </w:t>
            </w:r>
            <w:r w:rsidR="003A1500">
              <w:t xml:space="preserve">Spending </w:t>
            </w:r>
            <w:r w:rsidR="009C2AD8">
              <w:t xml:space="preserve">was </w:t>
            </w:r>
            <w:r w:rsidR="003A1500">
              <w:t>not reported timely</w:t>
            </w:r>
            <w:r w:rsidR="0045466F">
              <w:t xml:space="preserve"> and accurately</w:t>
            </w:r>
            <w:r w:rsidR="003A1500">
              <w:t xml:space="preserve"> and spending pattern is u</w:t>
            </w:r>
            <w:r w:rsidR="00D27CAF">
              <w:t>nderspent or overspent without justification or plan for adequate service provision</w:t>
            </w:r>
            <w:r w:rsidR="003A1500">
              <w:t>.</w:t>
            </w:r>
          </w:p>
        </w:tc>
        <w:tc>
          <w:tcPr>
            <w:tcW w:w="805" w:type="dxa"/>
            <w:vMerge/>
            <w:tcBorders>
              <w:left w:val="single" w:sz="4" w:space="0" w:color="auto"/>
              <w:bottom w:val="single" w:sz="4" w:space="0" w:color="auto"/>
              <w:right w:val="single" w:sz="4" w:space="0" w:color="auto"/>
            </w:tcBorders>
          </w:tcPr>
          <w:p w14:paraId="3D87B8D3" w14:textId="77777777" w:rsidR="00D27CAF" w:rsidRDefault="00D27CAF"/>
        </w:tc>
      </w:tr>
    </w:tbl>
    <w:p w14:paraId="13E1AE2A" w14:textId="77777777" w:rsidR="000503C4" w:rsidRDefault="000503C4" w:rsidP="0039330F">
      <w:pPr>
        <w:rPr>
          <w:b/>
          <w:bCs/>
          <w:color w:val="0070C0"/>
        </w:rPr>
      </w:pPr>
    </w:p>
    <w:p w14:paraId="77B47050" w14:textId="77777777" w:rsidR="00143328" w:rsidRDefault="00143328" w:rsidP="0039330F">
      <w:pPr>
        <w:rPr>
          <w:b/>
          <w:bCs/>
          <w:color w:val="0070C0"/>
        </w:rPr>
      </w:pPr>
    </w:p>
    <w:p w14:paraId="6B0C6758" w14:textId="77777777" w:rsidR="00143328" w:rsidRDefault="00143328" w:rsidP="0039330F">
      <w:pPr>
        <w:rPr>
          <w:b/>
          <w:bCs/>
          <w:color w:val="0070C0"/>
        </w:rPr>
      </w:pPr>
    </w:p>
    <w:tbl>
      <w:tblPr>
        <w:tblStyle w:val="TableGrid"/>
        <w:tblW w:w="0" w:type="auto"/>
        <w:tblLook w:val="04A0" w:firstRow="1" w:lastRow="0" w:firstColumn="1" w:lastColumn="0" w:noHBand="0" w:noVBand="1"/>
      </w:tblPr>
      <w:tblGrid>
        <w:gridCol w:w="7915"/>
        <w:gridCol w:w="1435"/>
      </w:tblGrid>
      <w:tr w:rsidR="0021578F" w14:paraId="505A5DCF" w14:textId="77777777" w:rsidTr="00EF4751">
        <w:tc>
          <w:tcPr>
            <w:tcW w:w="7915" w:type="dxa"/>
          </w:tcPr>
          <w:p w14:paraId="6F4CA780" w14:textId="77777777" w:rsidR="0021578F" w:rsidRPr="0039330F" w:rsidRDefault="0021578F" w:rsidP="00EF4751">
            <w:pPr>
              <w:rPr>
                <w:b/>
                <w:bCs/>
              </w:rPr>
            </w:pPr>
            <w:r w:rsidRPr="00646AA5">
              <w:rPr>
                <w:b/>
                <w:bCs/>
                <w:color w:val="0070C0"/>
              </w:rPr>
              <w:t>Risk assessment results</w:t>
            </w:r>
          </w:p>
        </w:tc>
        <w:tc>
          <w:tcPr>
            <w:tcW w:w="1435" w:type="dxa"/>
          </w:tcPr>
          <w:p w14:paraId="6AC2DB0C" w14:textId="77777777" w:rsidR="0021578F" w:rsidRDefault="0021578F" w:rsidP="00EF4751">
            <w:pPr>
              <w:rPr>
                <w:b/>
                <w:bCs/>
                <w:color w:val="0070C0"/>
              </w:rPr>
            </w:pPr>
            <w:r>
              <w:rPr>
                <w:b/>
                <w:bCs/>
                <w:color w:val="0070C0"/>
              </w:rPr>
              <w:t>Score</w:t>
            </w:r>
          </w:p>
        </w:tc>
      </w:tr>
      <w:tr w:rsidR="0021578F" w14:paraId="1A1AEB80" w14:textId="77777777" w:rsidTr="00EF4751">
        <w:tc>
          <w:tcPr>
            <w:tcW w:w="7915" w:type="dxa"/>
          </w:tcPr>
          <w:p w14:paraId="35CDB11B" w14:textId="77777777" w:rsidR="0021578F" w:rsidRDefault="0021578F" w:rsidP="00EF4751">
            <w:pPr>
              <w:rPr>
                <w:b/>
                <w:bCs/>
                <w:color w:val="0070C0"/>
              </w:rPr>
            </w:pPr>
            <w:r w:rsidRPr="0039330F">
              <w:rPr>
                <w:b/>
                <w:bCs/>
              </w:rPr>
              <w:t>Subrecipient’s Prior Experience with the Same or Similar Subawards</w:t>
            </w:r>
          </w:p>
        </w:tc>
        <w:tc>
          <w:tcPr>
            <w:tcW w:w="1435" w:type="dxa"/>
          </w:tcPr>
          <w:p w14:paraId="2F1029A8" w14:textId="77777777" w:rsidR="0021578F" w:rsidRDefault="0021578F" w:rsidP="00EF4751">
            <w:pPr>
              <w:rPr>
                <w:b/>
                <w:bCs/>
                <w:color w:val="0070C0"/>
              </w:rPr>
            </w:pPr>
          </w:p>
        </w:tc>
      </w:tr>
      <w:tr w:rsidR="0021578F" w14:paraId="2D497DF1" w14:textId="77777777" w:rsidTr="00EF4751">
        <w:tc>
          <w:tcPr>
            <w:tcW w:w="7915" w:type="dxa"/>
          </w:tcPr>
          <w:p w14:paraId="15C93C55" w14:textId="77777777" w:rsidR="0021578F" w:rsidRDefault="0021578F" w:rsidP="00EF4751">
            <w:pPr>
              <w:rPr>
                <w:b/>
                <w:bCs/>
                <w:color w:val="0070C0"/>
              </w:rPr>
            </w:pPr>
            <w:r w:rsidRPr="0039330F">
              <w:rPr>
                <w:b/>
                <w:bCs/>
              </w:rPr>
              <w:t>Results of previous Single Audits</w:t>
            </w:r>
          </w:p>
        </w:tc>
        <w:tc>
          <w:tcPr>
            <w:tcW w:w="1435" w:type="dxa"/>
          </w:tcPr>
          <w:p w14:paraId="641C5082" w14:textId="77777777" w:rsidR="0021578F" w:rsidRDefault="0021578F" w:rsidP="00EF4751">
            <w:pPr>
              <w:rPr>
                <w:b/>
                <w:bCs/>
                <w:color w:val="0070C0"/>
              </w:rPr>
            </w:pPr>
          </w:p>
        </w:tc>
      </w:tr>
      <w:tr w:rsidR="0021578F" w14:paraId="6F8C8053" w14:textId="77777777" w:rsidTr="00EF4751">
        <w:tc>
          <w:tcPr>
            <w:tcW w:w="7915" w:type="dxa"/>
          </w:tcPr>
          <w:p w14:paraId="777163E9" w14:textId="77777777" w:rsidR="0021578F" w:rsidRDefault="0021578F" w:rsidP="00EF4751">
            <w:pPr>
              <w:rPr>
                <w:b/>
                <w:bCs/>
                <w:color w:val="0070C0"/>
              </w:rPr>
            </w:pPr>
            <w:r w:rsidRPr="0039330F">
              <w:rPr>
                <w:b/>
                <w:bCs/>
              </w:rPr>
              <w:lastRenderedPageBreak/>
              <w:t>Subrecipient administrative systems</w:t>
            </w:r>
          </w:p>
        </w:tc>
        <w:tc>
          <w:tcPr>
            <w:tcW w:w="1435" w:type="dxa"/>
          </w:tcPr>
          <w:p w14:paraId="5412C7EC" w14:textId="77777777" w:rsidR="0021578F" w:rsidRDefault="0021578F" w:rsidP="00EF4751">
            <w:pPr>
              <w:rPr>
                <w:b/>
                <w:bCs/>
                <w:color w:val="0070C0"/>
              </w:rPr>
            </w:pPr>
          </w:p>
        </w:tc>
      </w:tr>
      <w:tr w:rsidR="0021578F" w14:paraId="6A263A76" w14:textId="77777777" w:rsidTr="00EF4751">
        <w:tc>
          <w:tcPr>
            <w:tcW w:w="7915" w:type="dxa"/>
          </w:tcPr>
          <w:p w14:paraId="7C23D6F3" w14:textId="77777777" w:rsidR="0021578F" w:rsidRDefault="0021578F" w:rsidP="00EF4751">
            <w:pPr>
              <w:rPr>
                <w:b/>
                <w:bCs/>
                <w:color w:val="0070C0"/>
              </w:rPr>
            </w:pPr>
            <w:r w:rsidRPr="0039330F">
              <w:rPr>
                <w:b/>
                <w:bCs/>
              </w:rPr>
              <w:t>Results from a Federal Awarding Agency</w:t>
            </w:r>
          </w:p>
        </w:tc>
        <w:tc>
          <w:tcPr>
            <w:tcW w:w="1435" w:type="dxa"/>
          </w:tcPr>
          <w:p w14:paraId="05FA3093" w14:textId="77777777" w:rsidR="0021578F" w:rsidRDefault="0021578F" w:rsidP="00EF4751">
            <w:pPr>
              <w:rPr>
                <w:b/>
                <w:bCs/>
                <w:color w:val="0070C0"/>
              </w:rPr>
            </w:pPr>
          </w:p>
        </w:tc>
      </w:tr>
      <w:tr w:rsidR="0021578F" w14:paraId="4BE0042B" w14:textId="77777777" w:rsidTr="00EF4751">
        <w:tc>
          <w:tcPr>
            <w:tcW w:w="7915" w:type="dxa"/>
          </w:tcPr>
          <w:p w14:paraId="579DB082" w14:textId="77777777" w:rsidR="0021578F" w:rsidRDefault="0021578F" w:rsidP="00EF4751">
            <w:pPr>
              <w:rPr>
                <w:b/>
                <w:bCs/>
                <w:color w:val="0070C0"/>
              </w:rPr>
            </w:pPr>
            <w:r>
              <w:rPr>
                <w:b/>
                <w:bCs/>
              </w:rPr>
              <w:t>Funding Utilization</w:t>
            </w:r>
          </w:p>
        </w:tc>
        <w:tc>
          <w:tcPr>
            <w:tcW w:w="1435" w:type="dxa"/>
          </w:tcPr>
          <w:p w14:paraId="57895DCA" w14:textId="77777777" w:rsidR="0021578F" w:rsidRDefault="0021578F" w:rsidP="00EF4751">
            <w:pPr>
              <w:rPr>
                <w:b/>
                <w:bCs/>
                <w:color w:val="0070C0"/>
              </w:rPr>
            </w:pPr>
          </w:p>
        </w:tc>
      </w:tr>
      <w:tr w:rsidR="0021578F" w14:paraId="2025287F" w14:textId="77777777" w:rsidTr="00EF4751">
        <w:tc>
          <w:tcPr>
            <w:tcW w:w="7915" w:type="dxa"/>
          </w:tcPr>
          <w:p w14:paraId="6C0CD423" w14:textId="77777777" w:rsidR="0021578F" w:rsidRDefault="0021578F" w:rsidP="00EF4751">
            <w:pPr>
              <w:rPr>
                <w:b/>
                <w:bCs/>
              </w:rPr>
            </w:pPr>
            <w:r w:rsidRPr="00646AA5">
              <w:rPr>
                <w:b/>
                <w:bCs/>
                <w:color w:val="0070C0"/>
              </w:rPr>
              <w:t>Total:</w:t>
            </w:r>
          </w:p>
        </w:tc>
        <w:tc>
          <w:tcPr>
            <w:tcW w:w="1435" w:type="dxa"/>
          </w:tcPr>
          <w:p w14:paraId="43333FD8" w14:textId="77777777" w:rsidR="0021578F" w:rsidRDefault="0021578F" w:rsidP="00EF4751">
            <w:pPr>
              <w:rPr>
                <w:b/>
                <w:bCs/>
                <w:color w:val="0070C0"/>
              </w:rPr>
            </w:pPr>
          </w:p>
        </w:tc>
      </w:tr>
    </w:tbl>
    <w:p w14:paraId="6428D539" w14:textId="77777777" w:rsidR="0021578F" w:rsidRDefault="0021578F" w:rsidP="0039330F">
      <w:pPr>
        <w:rPr>
          <w:b/>
          <w:bCs/>
          <w:color w:val="0070C0"/>
        </w:rPr>
      </w:pPr>
    </w:p>
    <w:tbl>
      <w:tblPr>
        <w:tblStyle w:val="TableGrid"/>
        <w:tblW w:w="0" w:type="auto"/>
        <w:tblLook w:val="04A0" w:firstRow="1" w:lastRow="0" w:firstColumn="1" w:lastColumn="0" w:noHBand="0" w:noVBand="1"/>
      </w:tblPr>
      <w:tblGrid>
        <w:gridCol w:w="1345"/>
        <w:gridCol w:w="8005"/>
      </w:tblGrid>
      <w:tr w:rsidR="008D0F9B" w14:paraId="64C0F052" w14:textId="77777777" w:rsidTr="005D5DEF">
        <w:tc>
          <w:tcPr>
            <w:tcW w:w="9350" w:type="dxa"/>
            <w:gridSpan w:val="2"/>
          </w:tcPr>
          <w:p w14:paraId="54ABFACA" w14:textId="697028F6" w:rsidR="008D0F9B" w:rsidRPr="008D0F9B" w:rsidRDefault="008D0F9B" w:rsidP="005D5DEF">
            <w:pPr>
              <w:rPr>
                <w:b/>
                <w:bCs/>
                <w:color w:val="0070C0"/>
              </w:rPr>
            </w:pPr>
            <w:r w:rsidRPr="008D0F9B">
              <w:rPr>
                <w:b/>
                <w:bCs/>
                <w:color w:val="0070C0"/>
              </w:rPr>
              <w:t xml:space="preserve">Total Risk Score </w:t>
            </w:r>
            <w:r>
              <w:rPr>
                <w:b/>
                <w:bCs/>
                <w:color w:val="0070C0"/>
              </w:rPr>
              <w:t>– Overall Risk</w:t>
            </w:r>
            <w:r w:rsidR="00F7567E">
              <w:rPr>
                <w:b/>
                <w:bCs/>
                <w:color w:val="0070C0"/>
              </w:rPr>
              <w:t xml:space="preserve"> Assessment</w:t>
            </w:r>
          </w:p>
        </w:tc>
      </w:tr>
      <w:tr w:rsidR="008D0F9B" w14:paraId="60CDB747" w14:textId="77777777" w:rsidTr="008D0F9B">
        <w:trPr>
          <w:trHeight w:val="60"/>
        </w:trPr>
        <w:tc>
          <w:tcPr>
            <w:tcW w:w="1345" w:type="dxa"/>
          </w:tcPr>
          <w:p w14:paraId="58D06AEE" w14:textId="17E218C5" w:rsidR="008D0F9B" w:rsidRPr="008D0F9B" w:rsidRDefault="008D0F9B" w:rsidP="005D5DEF">
            <w:pPr>
              <w:rPr>
                <w:b/>
                <w:bCs/>
                <w:color w:val="0070C0"/>
              </w:rPr>
            </w:pPr>
            <w:r w:rsidRPr="008D0F9B">
              <w:fldChar w:fldCharType="begin">
                <w:ffData>
                  <w:name w:val="Check1"/>
                  <w:enabled/>
                  <w:calcOnExit w:val="0"/>
                  <w:checkBox>
                    <w:sizeAuto/>
                    <w:default w:val="0"/>
                  </w:checkBox>
                </w:ffData>
              </w:fldChar>
            </w:r>
            <w:r w:rsidRPr="008D0F9B">
              <w:instrText xml:space="preserve"> FORMCHECKBOX </w:instrText>
            </w:r>
            <w:r w:rsidR="00342B3F">
              <w:fldChar w:fldCharType="separate"/>
            </w:r>
            <w:r w:rsidRPr="008D0F9B">
              <w:fldChar w:fldCharType="end"/>
            </w:r>
            <w:r w:rsidRPr="008D0F9B">
              <w:t xml:space="preserve"> </w:t>
            </w:r>
            <w:r w:rsidRPr="008D0F9B">
              <w:rPr>
                <w:color w:val="0070C0"/>
              </w:rPr>
              <w:t>Low</w:t>
            </w:r>
            <w:r w:rsidR="00F7567E">
              <w:rPr>
                <w:color w:val="0070C0"/>
              </w:rPr>
              <w:t xml:space="preserve"> </w:t>
            </w:r>
          </w:p>
        </w:tc>
        <w:tc>
          <w:tcPr>
            <w:tcW w:w="8005" w:type="dxa"/>
          </w:tcPr>
          <w:p w14:paraId="4EA310F0" w14:textId="49267A7F" w:rsidR="008D0F9B" w:rsidRPr="008D0F9B" w:rsidRDefault="008D0F9B" w:rsidP="008D0F9B">
            <w:pPr>
              <w:rPr>
                <w:color w:val="0070C0"/>
              </w:rPr>
            </w:pPr>
            <w:r w:rsidRPr="008D0F9B">
              <w:rPr>
                <w:color w:val="0070C0"/>
              </w:rPr>
              <w:t>5-8 points</w:t>
            </w:r>
          </w:p>
        </w:tc>
      </w:tr>
      <w:tr w:rsidR="008D0F9B" w14:paraId="404CE4F5" w14:textId="77777777" w:rsidTr="008D0F9B">
        <w:trPr>
          <w:trHeight w:val="152"/>
        </w:trPr>
        <w:tc>
          <w:tcPr>
            <w:tcW w:w="1345" w:type="dxa"/>
          </w:tcPr>
          <w:p w14:paraId="4EFD14CE" w14:textId="46ED5534" w:rsidR="008D0F9B" w:rsidRPr="008D0F9B" w:rsidRDefault="008D0F9B" w:rsidP="005D5DEF">
            <w:pPr>
              <w:rPr>
                <w:b/>
                <w:bCs/>
                <w:color w:val="0070C0"/>
              </w:rPr>
            </w:pPr>
            <w:r w:rsidRPr="008D0F9B">
              <w:fldChar w:fldCharType="begin">
                <w:ffData>
                  <w:name w:val="Check2"/>
                  <w:enabled/>
                  <w:calcOnExit w:val="0"/>
                  <w:checkBox>
                    <w:sizeAuto/>
                    <w:default w:val="0"/>
                  </w:checkBox>
                </w:ffData>
              </w:fldChar>
            </w:r>
            <w:r w:rsidRPr="008D0F9B">
              <w:instrText xml:space="preserve"> FORMCHECKBOX </w:instrText>
            </w:r>
            <w:r w:rsidR="00342B3F">
              <w:fldChar w:fldCharType="separate"/>
            </w:r>
            <w:r w:rsidRPr="008D0F9B">
              <w:fldChar w:fldCharType="end"/>
            </w:r>
            <w:r w:rsidRPr="008D0F9B">
              <w:t xml:space="preserve"> </w:t>
            </w:r>
            <w:r w:rsidRPr="008D0F9B">
              <w:rPr>
                <w:color w:val="0070C0"/>
              </w:rPr>
              <w:t>Mediu</w:t>
            </w:r>
            <w:r w:rsidR="00F7567E">
              <w:rPr>
                <w:color w:val="0070C0"/>
              </w:rPr>
              <w:t>m</w:t>
            </w:r>
          </w:p>
        </w:tc>
        <w:tc>
          <w:tcPr>
            <w:tcW w:w="8005" w:type="dxa"/>
          </w:tcPr>
          <w:p w14:paraId="5E13FFE5" w14:textId="428AE099" w:rsidR="008D0F9B" w:rsidRPr="008D0F9B" w:rsidRDefault="008D0F9B" w:rsidP="008D0F9B">
            <w:pPr>
              <w:rPr>
                <w:color w:val="0070C0"/>
              </w:rPr>
            </w:pPr>
            <w:r w:rsidRPr="008D0F9B">
              <w:rPr>
                <w:color w:val="0070C0"/>
              </w:rPr>
              <w:t>9-12 points</w:t>
            </w:r>
          </w:p>
        </w:tc>
      </w:tr>
      <w:tr w:rsidR="008D0F9B" w14:paraId="3A735FCE" w14:textId="77777777" w:rsidTr="008D0F9B">
        <w:trPr>
          <w:trHeight w:val="242"/>
        </w:trPr>
        <w:tc>
          <w:tcPr>
            <w:tcW w:w="1345" w:type="dxa"/>
          </w:tcPr>
          <w:p w14:paraId="60F87301" w14:textId="77777777" w:rsidR="008D0F9B" w:rsidRPr="008D0F9B" w:rsidRDefault="008D0F9B" w:rsidP="005D5DEF">
            <w:pPr>
              <w:rPr>
                <w:b/>
                <w:bCs/>
                <w:color w:val="0070C0"/>
              </w:rPr>
            </w:pPr>
            <w:r w:rsidRPr="008D0F9B">
              <w:fldChar w:fldCharType="begin">
                <w:ffData>
                  <w:name w:val="Check3"/>
                  <w:enabled/>
                  <w:calcOnExit w:val="0"/>
                  <w:checkBox>
                    <w:sizeAuto/>
                    <w:default w:val="0"/>
                  </w:checkBox>
                </w:ffData>
              </w:fldChar>
            </w:r>
            <w:r w:rsidRPr="008D0F9B">
              <w:instrText xml:space="preserve"> FORMCHECKBOX </w:instrText>
            </w:r>
            <w:r w:rsidR="00342B3F">
              <w:fldChar w:fldCharType="separate"/>
            </w:r>
            <w:r w:rsidRPr="008D0F9B">
              <w:fldChar w:fldCharType="end"/>
            </w:r>
            <w:r w:rsidRPr="008D0F9B">
              <w:t xml:space="preserve"> </w:t>
            </w:r>
            <w:r w:rsidRPr="008D0F9B">
              <w:rPr>
                <w:color w:val="0070C0"/>
              </w:rPr>
              <w:t>High</w:t>
            </w:r>
          </w:p>
        </w:tc>
        <w:tc>
          <w:tcPr>
            <w:tcW w:w="8005" w:type="dxa"/>
          </w:tcPr>
          <w:p w14:paraId="3660CBB3" w14:textId="7D90CF6E" w:rsidR="008D0F9B" w:rsidRPr="008D0F9B" w:rsidRDefault="008D0F9B" w:rsidP="008D0F9B">
            <w:pPr>
              <w:spacing w:line="256" w:lineRule="auto"/>
              <w:rPr>
                <w:color w:val="0070C0"/>
              </w:rPr>
            </w:pPr>
            <w:r w:rsidRPr="008D0F9B">
              <w:rPr>
                <w:color w:val="0070C0"/>
              </w:rPr>
              <w:t>13-15 points</w:t>
            </w:r>
          </w:p>
        </w:tc>
      </w:tr>
    </w:tbl>
    <w:p w14:paraId="16339A1D" w14:textId="77777777" w:rsidR="008D0F9B" w:rsidRDefault="008D0F9B" w:rsidP="0039330F">
      <w:pPr>
        <w:rPr>
          <w:b/>
          <w:bCs/>
          <w:color w:val="0070C0"/>
        </w:rPr>
      </w:pPr>
    </w:p>
    <w:p w14:paraId="4C83C3AF" w14:textId="09E76468" w:rsidR="0039330F" w:rsidRPr="0039330F" w:rsidRDefault="0039330F" w:rsidP="0039330F">
      <w:pPr>
        <w:rPr>
          <w:b/>
          <w:bCs/>
        </w:rPr>
      </w:pPr>
      <w:r w:rsidRPr="0039330F">
        <w:rPr>
          <w:b/>
          <w:bCs/>
        </w:rPr>
        <w:t>Monitoring Plan</w:t>
      </w:r>
      <w:r w:rsidR="00C83996">
        <w:rPr>
          <w:b/>
          <w:bCs/>
        </w:rPr>
        <w:t xml:space="preserve"> </w:t>
      </w:r>
    </w:p>
    <w:tbl>
      <w:tblPr>
        <w:tblStyle w:val="TableGrid"/>
        <w:tblW w:w="0" w:type="auto"/>
        <w:tblLook w:val="04A0" w:firstRow="1" w:lastRow="0" w:firstColumn="1" w:lastColumn="0" w:noHBand="0" w:noVBand="1"/>
      </w:tblPr>
      <w:tblGrid>
        <w:gridCol w:w="1345"/>
        <w:gridCol w:w="8005"/>
      </w:tblGrid>
      <w:tr w:rsidR="0039330F" w14:paraId="2E3D1418" w14:textId="77777777" w:rsidTr="007314F3">
        <w:tc>
          <w:tcPr>
            <w:tcW w:w="9350" w:type="dxa"/>
            <w:gridSpan w:val="2"/>
          </w:tcPr>
          <w:p w14:paraId="7AFF4669" w14:textId="186256BD" w:rsidR="0039330F" w:rsidRPr="0039330F" w:rsidRDefault="0039330F" w:rsidP="007314F3">
            <w:pPr>
              <w:rPr>
                <w:b/>
                <w:bCs/>
              </w:rPr>
            </w:pPr>
            <w:r w:rsidRPr="0039330F">
              <w:rPr>
                <w:b/>
                <w:bCs/>
              </w:rPr>
              <w:t xml:space="preserve">Review </w:t>
            </w:r>
            <w:r>
              <w:rPr>
                <w:b/>
                <w:bCs/>
              </w:rPr>
              <w:t xml:space="preserve">Financial and Performance Reports </w:t>
            </w:r>
          </w:p>
        </w:tc>
      </w:tr>
      <w:tr w:rsidR="0039330F" w14:paraId="22D35F0D" w14:textId="77777777" w:rsidTr="00E100E8">
        <w:trPr>
          <w:trHeight w:val="872"/>
        </w:trPr>
        <w:tc>
          <w:tcPr>
            <w:tcW w:w="1345" w:type="dxa"/>
          </w:tcPr>
          <w:p w14:paraId="7838B08F" w14:textId="77777777" w:rsidR="0039330F" w:rsidRDefault="0039330F" w:rsidP="007314F3">
            <w:pPr>
              <w:rPr>
                <w:b/>
                <w:bCs/>
              </w:rPr>
            </w:pPr>
            <w:r>
              <w:fldChar w:fldCharType="begin">
                <w:ffData>
                  <w:name w:val="Check1"/>
                  <w:enabled/>
                  <w:calcOnExit w:val="0"/>
                  <w:checkBox>
                    <w:sizeAuto/>
                    <w:default w:val="0"/>
                  </w:checkBox>
                </w:ffData>
              </w:fldChar>
            </w:r>
            <w:r>
              <w:instrText xml:space="preserve"> FORMCHECKBOX </w:instrText>
            </w:r>
            <w:r w:rsidR="00342B3F">
              <w:fldChar w:fldCharType="separate"/>
            </w:r>
            <w:r>
              <w:fldChar w:fldCharType="end"/>
            </w:r>
            <w:r>
              <w:t xml:space="preserve"> Low</w:t>
            </w:r>
          </w:p>
        </w:tc>
        <w:tc>
          <w:tcPr>
            <w:tcW w:w="8005" w:type="dxa"/>
          </w:tcPr>
          <w:p w14:paraId="31DA67F8" w14:textId="78650B00" w:rsidR="00D90DB6" w:rsidRPr="0039330F" w:rsidRDefault="00D90DB6" w:rsidP="00E100E8">
            <w:pPr>
              <w:pStyle w:val="ListParagraph"/>
              <w:numPr>
                <w:ilvl w:val="0"/>
                <w:numId w:val="10"/>
              </w:numPr>
            </w:pPr>
            <w:r>
              <w:t>Review invoices and performance programmatic reports</w:t>
            </w:r>
            <w:r w:rsidR="003C7F4E">
              <w:t>, reconcile annually</w:t>
            </w:r>
            <w:r>
              <w:t xml:space="preserve"> to ensure payments are in compliance with all regulations, laws, and provisions of the award.</w:t>
            </w:r>
            <w:r w:rsidR="003C7F4E">
              <w:t xml:space="preserve"> Do not withhold payments. </w:t>
            </w:r>
          </w:p>
        </w:tc>
      </w:tr>
      <w:tr w:rsidR="0039330F" w14:paraId="1AC3B349" w14:textId="77777777" w:rsidTr="00E100E8">
        <w:trPr>
          <w:trHeight w:val="890"/>
        </w:trPr>
        <w:tc>
          <w:tcPr>
            <w:tcW w:w="1345" w:type="dxa"/>
          </w:tcPr>
          <w:p w14:paraId="21F233EA" w14:textId="77777777" w:rsidR="0039330F" w:rsidRDefault="0039330F" w:rsidP="007314F3">
            <w:pPr>
              <w:rPr>
                <w:b/>
                <w:bCs/>
              </w:rPr>
            </w:pPr>
            <w:r>
              <w:fldChar w:fldCharType="begin">
                <w:ffData>
                  <w:name w:val="Check2"/>
                  <w:enabled/>
                  <w:calcOnExit w:val="0"/>
                  <w:checkBox>
                    <w:sizeAuto/>
                    <w:default w:val="0"/>
                  </w:checkBox>
                </w:ffData>
              </w:fldChar>
            </w:r>
            <w:r>
              <w:instrText xml:space="preserve"> FORMCHECKBOX </w:instrText>
            </w:r>
            <w:r w:rsidR="00342B3F">
              <w:fldChar w:fldCharType="separate"/>
            </w:r>
            <w:r>
              <w:fldChar w:fldCharType="end"/>
            </w:r>
            <w:r>
              <w:t xml:space="preserve"> Medium</w:t>
            </w:r>
          </w:p>
        </w:tc>
        <w:tc>
          <w:tcPr>
            <w:tcW w:w="8005" w:type="dxa"/>
          </w:tcPr>
          <w:p w14:paraId="63BE68B4" w14:textId="45DE65D2" w:rsidR="00D90DB6" w:rsidRPr="00062319" w:rsidRDefault="003C7F4E" w:rsidP="00E100E8">
            <w:pPr>
              <w:pStyle w:val="ListParagraph"/>
              <w:numPr>
                <w:ilvl w:val="0"/>
                <w:numId w:val="10"/>
              </w:numPr>
            </w:pPr>
            <w:r>
              <w:t xml:space="preserve">Review invoices and performance programmatic reports </w:t>
            </w:r>
            <w:r w:rsidR="004307E4">
              <w:t>quarterly</w:t>
            </w:r>
            <w:r>
              <w:t xml:space="preserve"> to ensure payments are in compliance with all regulations, laws, and provisions of the award, reconcile quarterly. Do not withhold payments.</w:t>
            </w:r>
          </w:p>
        </w:tc>
      </w:tr>
      <w:tr w:rsidR="0039330F" w14:paraId="0596ECD8" w14:textId="77777777" w:rsidTr="004307E4">
        <w:trPr>
          <w:trHeight w:val="620"/>
        </w:trPr>
        <w:tc>
          <w:tcPr>
            <w:tcW w:w="1345" w:type="dxa"/>
          </w:tcPr>
          <w:p w14:paraId="60C1AE97" w14:textId="77777777" w:rsidR="0039330F" w:rsidRDefault="0039330F" w:rsidP="007314F3">
            <w:pPr>
              <w:rPr>
                <w:b/>
                <w:bCs/>
              </w:rPr>
            </w:pPr>
            <w:r>
              <w:fldChar w:fldCharType="begin">
                <w:ffData>
                  <w:name w:val="Check3"/>
                  <w:enabled/>
                  <w:calcOnExit w:val="0"/>
                  <w:checkBox>
                    <w:sizeAuto/>
                    <w:default w:val="0"/>
                  </w:checkBox>
                </w:ffData>
              </w:fldChar>
            </w:r>
            <w:r>
              <w:instrText xml:space="preserve"> FORMCHECKBOX </w:instrText>
            </w:r>
            <w:r w:rsidR="00342B3F">
              <w:fldChar w:fldCharType="separate"/>
            </w:r>
            <w:r>
              <w:fldChar w:fldCharType="end"/>
            </w:r>
            <w:r>
              <w:t xml:space="preserve"> High</w:t>
            </w:r>
          </w:p>
        </w:tc>
        <w:tc>
          <w:tcPr>
            <w:tcW w:w="8005" w:type="dxa"/>
          </w:tcPr>
          <w:p w14:paraId="0153C41B" w14:textId="08F5F403" w:rsidR="00062319" w:rsidRPr="004307E4" w:rsidRDefault="00D90DB6" w:rsidP="004307E4">
            <w:pPr>
              <w:pStyle w:val="ListParagraph"/>
              <w:numPr>
                <w:ilvl w:val="0"/>
                <w:numId w:val="13"/>
              </w:numPr>
              <w:spacing w:line="256" w:lineRule="auto"/>
              <w:rPr>
                <w:b/>
                <w:bCs/>
              </w:rPr>
            </w:pPr>
            <w:r>
              <w:t xml:space="preserve">Review </w:t>
            </w:r>
            <w:r w:rsidR="0022435B">
              <w:t>invoices</w:t>
            </w:r>
            <w:r>
              <w:t xml:space="preserve"> </w:t>
            </w:r>
            <w:r w:rsidR="003C7F4E">
              <w:t xml:space="preserve">and </w:t>
            </w:r>
            <w:r>
              <w:t xml:space="preserve">performance </w:t>
            </w:r>
            <w:r w:rsidR="003C7F4E">
              <w:t xml:space="preserve">programmatic </w:t>
            </w:r>
            <w:r>
              <w:t>reports and ensure they align with invoices for payment.</w:t>
            </w:r>
            <w:r w:rsidR="003C7F4E">
              <w:t xml:space="preserve"> Withhold </w:t>
            </w:r>
            <w:proofErr w:type="gramStart"/>
            <w:r w:rsidR="003C7F4E">
              <w:t>payment</w:t>
            </w:r>
            <w:proofErr w:type="gramEnd"/>
            <w:r w:rsidR="003C7F4E">
              <w:t xml:space="preserve"> if </w:t>
            </w:r>
            <w:r w:rsidR="00BC37A8">
              <w:t>necessary,</w:t>
            </w:r>
            <w:r w:rsidR="00257D38">
              <w:t xml:space="preserve"> until the programmatic reports align with invoices</w:t>
            </w:r>
            <w:r w:rsidR="003C7F4E">
              <w:t>.</w:t>
            </w:r>
          </w:p>
        </w:tc>
      </w:tr>
    </w:tbl>
    <w:p w14:paraId="79B39C8F" w14:textId="6D0BD7FF" w:rsidR="0039330F" w:rsidRDefault="0039330F" w:rsidP="0039330F"/>
    <w:tbl>
      <w:tblPr>
        <w:tblStyle w:val="TableGrid"/>
        <w:tblW w:w="0" w:type="auto"/>
        <w:tblLook w:val="04A0" w:firstRow="1" w:lastRow="0" w:firstColumn="1" w:lastColumn="0" w:noHBand="0" w:noVBand="1"/>
      </w:tblPr>
      <w:tblGrid>
        <w:gridCol w:w="1345"/>
        <w:gridCol w:w="8005"/>
      </w:tblGrid>
      <w:tr w:rsidR="0039330F" w:rsidRPr="0039330F" w14:paraId="192B7949" w14:textId="77777777" w:rsidTr="007314F3">
        <w:tc>
          <w:tcPr>
            <w:tcW w:w="9350" w:type="dxa"/>
            <w:gridSpan w:val="2"/>
          </w:tcPr>
          <w:p w14:paraId="585A3EE3" w14:textId="485AD636" w:rsidR="0039330F" w:rsidRPr="0039330F" w:rsidRDefault="0039330F" w:rsidP="007314F3">
            <w:pPr>
              <w:rPr>
                <w:b/>
                <w:bCs/>
              </w:rPr>
            </w:pPr>
            <w:r w:rsidRPr="0039330F">
              <w:rPr>
                <w:b/>
                <w:bCs/>
              </w:rPr>
              <w:t xml:space="preserve">Federal Award Monitoring Report Deficiencies </w:t>
            </w:r>
            <w:r w:rsidR="000503C4" w:rsidRPr="000503C4">
              <w:rPr>
                <w:b/>
                <w:bCs/>
                <w:color w:val="0070C0"/>
              </w:rPr>
              <w:t xml:space="preserve">– Same </w:t>
            </w:r>
            <w:r w:rsidR="008D0F9B">
              <w:rPr>
                <w:b/>
                <w:bCs/>
                <w:color w:val="0070C0"/>
              </w:rPr>
              <w:t>level</w:t>
            </w:r>
            <w:r w:rsidR="000503C4" w:rsidRPr="000503C4">
              <w:rPr>
                <w:b/>
                <w:bCs/>
                <w:color w:val="0070C0"/>
              </w:rPr>
              <w:t xml:space="preserve"> as Results from a Federal Awarding Agency</w:t>
            </w:r>
          </w:p>
        </w:tc>
      </w:tr>
      <w:tr w:rsidR="0039330F" w:rsidRPr="0039330F" w14:paraId="2A24D9E6" w14:textId="77777777" w:rsidTr="007314F3">
        <w:tc>
          <w:tcPr>
            <w:tcW w:w="1345" w:type="dxa"/>
          </w:tcPr>
          <w:p w14:paraId="33D8B1CC" w14:textId="77777777" w:rsidR="0039330F" w:rsidRDefault="0039330F" w:rsidP="007314F3">
            <w:pPr>
              <w:rPr>
                <w:b/>
                <w:bCs/>
              </w:rPr>
            </w:pPr>
            <w:r>
              <w:fldChar w:fldCharType="begin">
                <w:ffData>
                  <w:name w:val="Check1"/>
                  <w:enabled/>
                  <w:calcOnExit w:val="0"/>
                  <w:checkBox>
                    <w:sizeAuto/>
                    <w:default w:val="0"/>
                  </w:checkBox>
                </w:ffData>
              </w:fldChar>
            </w:r>
            <w:r>
              <w:instrText xml:space="preserve"> FORMCHECKBOX </w:instrText>
            </w:r>
            <w:r w:rsidR="00342B3F">
              <w:fldChar w:fldCharType="separate"/>
            </w:r>
            <w:r>
              <w:fldChar w:fldCharType="end"/>
            </w:r>
            <w:r>
              <w:t xml:space="preserve"> Low</w:t>
            </w:r>
          </w:p>
        </w:tc>
        <w:tc>
          <w:tcPr>
            <w:tcW w:w="8005" w:type="dxa"/>
          </w:tcPr>
          <w:p w14:paraId="1B29B581" w14:textId="234B78D3" w:rsidR="0039330F" w:rsidRPr="0039330F" w:rsidRDefault="0039330F" w:rsidP="007314F3">
            <w:r>
              <w:t>No action needed on deficiencies</w:t>
            </w:r>
            <w:r w:rsidR="00D90DB6">
              <w:t xml:space="preserve"> or no deficiencies. </w:t>
            </w:r>
          </w:p>
        </w:tc>
      </w:tr>
      <w:tr w:rsidR="0039330F" w14:paraId="45C75F1C" w14:textId="77777777" w:rsidTr="007314F3">
        <w:tc>
          <w:tcPr>
            <w:tcW w:w="1345" w:type="dxa"/>
          </w:tcPr>
          <w:p w14:paraId="62C823B2" w14:textId="77777777" w:rsidR="0039330F" w:rsidRDefault="0039330F" w:rsidP="007314F3">
            <w:pPr>
              <w:rPr>
                <w:b/>
                <w:bCs/>
              </w:rPr>
            </w:pPr>
            <w:r>
              <w:fldChar w:fldCharType="begin">
                <w:ffData>
                  <w:name w:val="Check2"/>
                  <w:enabled/>
                  <w:calcOnExit w:val="0"/>
                  <w:checkBox>
                    <w:sizeAuto/>
                    <w:default w:val="0"/>
                  </w:checkBox>
                </w:ffData>
              </w:fldChar>
            </w:r>
            <w:r>
              <w:instrText xml:space="preserve"> FORMCHECKBOX </w:instrText>
            </w:r>
            <w:r w:rsidR="00342B3F">
              <w:fldChar w:fldCharType="separate"/>
            </w:r>
            <w:r>
              <w:fldChar w:fldCharType="end"/>
            </w:r>
            <w:r>
              <w:t xml:space="preserve"> Medium</w:t>
            </w:r>
          </w:p>
        </w:tc>
        <w:tc>
          <w:tcPr>
            <w:tcW w:w="8005" w:type="dxa"/>
          </w:tcPr>
          <w:p w14:paraId="330E4705" w14:textId="50E6BC0C" w:rsidR="0039330F" w:rsidRDefault="0039330F" w:rsidP="007314F3">
            <w:pPr>
              <w:rPr>
                <w:b/>
                <w:bCs/>
              </w:rPr>
            </w:pPr>
            <w:r>
              <w:t xml:space="preserve">Request information on monitoring deficiencies. Document when deficiencies are resolved. </w:t>
            </w:r>
          </w:p>
        </w:tc>
      </w:tr>
      <w:tr w:rsidR="0039330F" w14:paraId="5C1E43E0" w14:textId="77777777" w:rsidTr="007314F3">
        <w:tc>
          <w:tcPr>
            <w:tcW w:w="1345" w:type="dxa"/>
          </w:tcPr>
          <w:p w14:paraId="0C989C47" w14:textId="77777777" w:rsidR="0039330F" w:rsidRDefault="0039330F" w:rsidP="007314F3">
            <w:pPr>
              <w:rPr>
                <w:b/>
                <w:bCs/>
              </w:rPr>
            </w:pPr>
            <w:r>
              <w:fldChar w:fldCharType="begin">
                <w:ffData>
                  <w:name w:val="Check3"/>
                  <w:enabled/>
                  <w:calcOnExit w:val="0"/>
                  <w:checkBox>
                    <w:sizeAuto/>
                    <w:default w:val="0"/>
                  </w:checkBox>
                </w:ffData>
              </w:fldChar>
            </w:r>
            <w:r>
              <w:instrText xml:space="preserve"> FORMCHECKBOX </w:instrText>
            </w:r>
            <w:r w:rsidR="00342B3F">
              <w:fldChar w:fldCharType="separate"/>
            </w:r>
            <w:r>
              <w:fldChar w:fldCharType="end"/>
            </w:r>
            <w:r>
              <w:t xml:space="preserve"> High</w:t>
            </w:r>
          </w:p>
        </w:tc>
        <w:tc>
          <w:tcPr>
            <w:tcW w:w="8005" w:type="dxa"/>
          </w:tcPr>
          <w:p w14:paraId="55B000DF" w14:textId="26045963" w:rsidR="0039330F" w:rsidRDefault="0039330F" w:rsidP="007314F3">
            <w:pPr>
              <w:rPr>
                <w:b/>
                <w:bCs/>
              </w:rPr>
            </w:pPr>
            <w:r>
              <w:t xml:space="preserve">Monitor compliance with deficiencies </w:t>
            </w:r>
            <w:r w:rsidR="00062319">
              <w:t xml:space="preserve">and develop a corrective </w:t>
            </w:r>
            <w:r>
              <w:t xml:space="preserve">action plan </w:t>
            </w:r>
            <w:r w:rsidR="00062319">
              <w:t>activity</w:t>
            </w:r>
            <w:r>
              <w:t>.</w:t>
            </w:r>
          </w:p>
        </w:tc>
      </w:tr>
    </w:tbl>
    <w:p w14:paraId="7A6A3AAF" w14:textId="075F4059" w:rsidR="0039330F" w:rsidRDefault="0039330F" w:rsidP="0039330F"/>
    <w:tbl>
      <w:tblPr>
        <w:tblStyle w:val="TableGrid"/>
        <w:tblW w:w="0" w:type="auto"/>
        <w:tblLook w:val="04A0" w:firstRow="1" w:lastRow="0" w:firstColumn="1" w:lastColumn="0" w:noHBand="0" w:noVBand="1"/>
      </w:tblPr>
      <w:tblGrid>
        <w:gridCol w:w="1345"/>
        <w:gridCol w:w="8005"/>
      </w:tblGrid>
      <w:tr w:rsidR="0039330F" w:rsidRPr="0039330F" w14:paraId="13C923CD" w14:textId="77777777" w:rsidTr="007314F3">
        <w:tc>
          <w:tcPr>
            <w:tcW w:w="9350" w:type="dxa"/>
            <w:gridSpan w:val="2"/>
          </w:tcPr>
          <w:p w14:paraId="2B87CCD0" w14:textId="6874ECD8" w:rsidR="0039330F" w:rsidRPr="0041728E" w:rsidRDefault="0039330F" w:rsidP="007314F3">
            <w:pPr>
              <w:rPr>
                <w:b/>
                <w:bCs/>
              </w:rPr>
            </w:pPr>
            <w:r w:rsidRPr="0041728E">
              <w:rPr>
                <w:b/>
                <w:bCs/>
              </w:rPr>
              <w:t xml:space="preserve">Audit Findings Management Decision </w:t>
            </w:r>
            <w:r w:rsidR="000503C4" w:rsidRPr="000503C4">
              <w:rPr>
                <w:b/>
                <w:bCs/>
                <w:color w:val="0070C0"/>
              </w:rPr>
              <w:t xml:space="preserve">– Same </w:t>
            </w:r>
            <w:r w:rsidR="008D0F9B">
              <w:rPr>
                <w:b/>
                <w:bCs/>
                <w:color w:val="0070C0"/>
              </w:rPr>
              <w:t>level</w:t>
            </w:r>
            <w:r w:rsidR="000503C4" w:rsidRPr="000503C4">
              <w:rPr>
                <w:b/>
                <w:bCs/>
                <w:color w:val="0070C0"/>
              </w:rPr>
              <w:t xml:space="preserve"> as Results of previous Single Audits</w:t>
            </w:r>
          </w:p>
        </w:tc>
      </w:tr>
      <w:tr w:rsidR="0039330F" w:rsidRPr="0039330F" w14:paraId="20A2611A" w14:textId="77777777" w:rsidTr="007314F3">
        <w:tc>
          <w:tcPr>
            <w:tcW w:w="1345" w:type="dxa"/>
          </w:tcPr>
          <w:p w14:paraId="266F39F4" w14:textId="77777777" w:rsidR="0039330F" w:rsidRDefault="0039330F" w:rsidP="007314F3">
            <w:pPr>
              <w:rPr>
                <w:b/>
                <w:bCs/>
              </w:rPr>
            </w:pPr>
            <w:r>
              <w:fldChar w:fldCharType="begin">
                <w:ffData>
                  <w:name w:val="Check1"/>
                  <w:enabled/>
                  <w:calcOnExit w:val="0"/>
                  <w:checkBox>
                    <w:sizeAuto/>
                    <w:default w:val="0"/>
                  </w:checkBox>
                </w:ffData>
              </w:fldChar>
            </w:r>
            <w:r>
              <w:instrText xml:space="preserve"> FORMCHECKBOX </w:instrText>
            </w:r>
            <w:r w:rsidR="00342B3F">
              <w:fldChar w:fldCharType="separate"/>
            </w:r>
            <w:r>
              <w:fldChar w:fldCharType="end"/>
            </w:r>
            <w:r>
              <w:t xml:space="preserve"> Low</w:t>
            </w:r>
          </w:p>
        </w:tc>
        <w:tc>
          <w:tcPr>
            <w:tcW w:w="8005" w:type="dxa"/>
          </w:tcPr>
          <w:p w14:paraId="140F0E40" w14:textId="2B14477C" w:rsidR="0039330F" w:rsidRPr="0039330F" w:rsidRDefault="0039330F" w:rsidP="007314F3">
            <w:r>
              <w:t xml:space="preserve">No action needed due to no SAR findings. </w:t>
            </w:r>
          </w:p>
        </w:tc>
      </w:tr>
      <w:tr w:rsidR="0039330F" w14:paraId="56B6003F" w14:textId="77777777" w:rsidTr="007314F3">
        <w:tc>
          <w:tcPr>
            <w:tcW w:w="1345" w:type="dxa"/>
          </w:tcPr>
          <w:p w14:paraId="1073F099" w14:textId="77777777" w:rsidR="0039330F" w:rsidRDefault="0039330F" w:rsidP="007314F3">
            <w:pPr>
              <w:rPr>
                <w:b/>
                <w:bCs/>
              </w:rPr>
            </w:pPr>
            <w:r>
              <w:fldChar w:fldCharType="begin">
                <w:ffData>
                  <w:name w:val="Check2"/>
                  <w:enabled/>
                  <w:calcOnExit w:val="0"/>
                  <w:checkBox>
                    <w:sizeAuto/>
                    <w:default w:val="0"/>
                  </w:checkBox>
                </w:ffData>
              </w:fldChar>
            </w:r>
            <w:r>
              <w:instrText xml:space="preserve"> FORMCHECKBOX </w:instrText>
            </w:r>
            <w:r w:rsidR="00342B3F">
              <w:fldChar w:fldCharType="separate"/>
            </w:r>
            <w:r>
              <w:fldChar w:fldCharType="end"/>
            </w:r>
            <w:r>
              <w:t xml:space="preserve"> Medium</w:t>
            </w:r>
          </w:p>
        </w:tc>
        <w:tc>
          <w:tcPr>
            <w:tcW w:w="8005" w:type="dxa"/>
          </w:tcPr>
          <w:p w14:paraId="4AE1E25E" w14:textId="4BE2572F" w:rsidR="0039330F" w:rsidRPr="00D90DB6" w:rsidRDefault="00257D38" w:rsidP="007314F3">
            <w:r>
              <w:t>Request information on audit findings. Document when findings are resolved.</w:t>
            </w:r>
          </w:p>
        </w:tc>
      </w:tr>
      <w:tr w:rsidR="0039330F" w14:paraId="2A4F5B2F" w14:textId="77777777" w:rsidTr="007314F3">
        <w:tc>
          <w:tcPr>
            <w:tcW w:w="1345" w:type="dxa"/>
          </w:tcPr>
          <w:p w14:paraId="1F345166" w14:textId="77777777" w:rsidR="0039330F" w:rsidRDefault="0039330F" w:rsidP="007314F3">
            <w:pPr>
              <w:rPr>
                <w:b/>
                <w:bCs/>
              </w:rPr>
            </w:pPr>
            <w:r>
              <w:fldChar w:fldCharType="begin">
                <w:ffData>
                  <w:name w:val="Check3"/>
                  <w:enabled/>
                  <w:calcOnExit w:val="0"/>
                  <w:checkBox>
                    <w:sizeAuto/>
                    <w:default w:val="0"/>
                  </w:checkBox>
                </w:ffData>
              </w:fldChar>
            </w:r>
            <w:r>
              <w:instrText xml:space="preserve"> FORMCHECKBOX </w:instrText>
            </w:r>
            <w:r w:rsidR="00342B3F">
              <w:fldChar w:fldCharType="separate"/>
            </w:r>
            <w:r>
              <w:fldChar w:fldCharType="end"/>
            </w:r>
            <w:r>
              <w:t xml:space="preserve"> High</w:t>
            </w:r>
          </w:p>
        </w:tc>
        <w:tc>
          <w:tcPr>
            <w:tcW w:w="8005" w:type="dxa"/>
          </w:tcPr>
          <w:p w14:paraId="352367BC" w14:textId="45D21BFD" w:rsidR="0039330F" w:rsidRDefault="0039330F" w:rsidP="007314F3">
            <w:pPr>
              <w:rPr>
                <w:b/>
                <w:bCs/>
              </w:rPr>
            </w:pPr>
            <w:r>
              <w:rPr>
                <w:rFonts w:ascii="Calibri" w:hAnsi="Calibri" w:cs="Calibri"/>
              </w:rPr>
              <w:t xml:space="preserve">Issuing a management decision for applicable audit findings pertaining only to the </w:t>
            </w:r>
            <w:r w:rsidR="00257D38">
              <w:rPr>
                <w:rFonts w:ascii="Calibri" w:hAnsi="Calibri" w:cs="Calibri"/>
              </w:rPr>
              <w:t>f</w:t>
            </w:r>
            <w:r>
              <w:rPr>
                <w:rFonts w:ascii="Calibri" w:hAnsi="Calibri" w:cs="Calibri"/>
              </w:rPr>
              <w:t xml:space="preserve">ederal award provided to the </w:t>
            </w:r>
            <w:r w:rsidR="00D90DB6">
              <w:rPr>
                <w:rFonts w:ascii="Calibri" w:hAnsi="Calibri" w:cs="Calibri"/>
              </w:rPr>
              <w:t>Indian Nation or UIO</w:t>
            </w:r>
            <w:r>
              <w:rPr>
                <w:rFonts w:ascii="Calibri" w:hAnsi="Calibri" w:cs="Calibri"/>
              </w:rPr>
              <w:t xml:space="preserve"> from </w:t>
            </w:r>
            <w:r w:rsidR="00FE0ADC">
              <w:rPr>
                <w:rFonts w:ascii="Calibri" w:hAnsi="Calibri" w:cs="Calibri"/>
              </w:rPr>
              <w:t>HCA</w:t>
            </w:r>
            <w:r>
              <w:rPr>
                <w:rFonts w:ascii="Calibri" w:hAnsi="Calibri" w:cs="Calibri"/>
              </w:rPr>
              <w:t xml:space="preserve"> as required by § 200.521.</w:t>
            </w:r>
          </w:p>
        </w:tc>
      </w:tr>
    </w:tbl>
    <w:p w14:paraId="6C343FFD" w14:textId="03D801F4" w:rsidR="0039330F" w:rsidRDefault="0039330F" w:rsidP="0039330F"/>
    <w:p w14:paraId="6851F4DE" w14:textId="77777777" w:rsidR="00BC37A8" w:rsidRDefault="00BC37A8" w:rsidP="0039330F"/>
    <w:p w14:paraId="4D998FFD" w14:textId="77777777" w:rsidR="00BC37A8" w:rsidRDefault="00BC37A8" w:rsidP="0039330F"/>
    <w:tbl>
      <w:tblPr>
        <w:tblStyle w:val="TableGrid"/>
        <w:tblW w:w="0" w:type="auto"/>
        <w:tblLook w:val="04A0" w:firstRow="1" w:lastRow="0" w:firstColumn="1" w:lastColumn="0" w:noHBand="0" w:noVBand="1"/>
      </w:tblPr>
      <w:tblGrid>
        <w:gridCol w:w="1345"/>
        <w:gridCol w:w="8005"/>
      </w:tblGrid>
      <w:tr w:rsidR="0039330F" w:rsidRPr="0039330F" w14:paraId="6147C3BD" w14:textId="77777777" w:rsidTr="007314F3">
        <w:tc>
          <w:tcPr>
            <w:tcW w:w="9350" w:type="dxa"/>
            <w:gridSpan w:val="2"/>
          </w:tcPr>
          <w:p w14:paraId="078A5767" w14:textId="52E9F504" w:rsidR="0039330F" w:rsidRPr="0039330F" w:rsidRDefault="0039330F" w:rsidP="007314F3">
            <w:pPr>
              <w:rPr>
                <w:b/>
                <w:bCs/>
              </w:rPr>
            </w:pPr>
            <w:r w:rsidRPr="0039330F">
              <w:rPr>
                <w:b/>
                <w:bCs/>
              </w:rPr>
              <w:t>Training and Technical Assistance</w:t>
            </w:r>
          </w:p>
        </w:tc>
      </w:tr>
      <w:tr w:rsidR="0039330F" w:rsidRPr="0039330F" w14:paraId="09EE48E4" w14:textId="77777777" w:rsidTr="007314F3">
        <w:tc>
          <w:tcPr>
            <w:tcW w:w="1345" w:type="dxa"/>
          </w:tcPr>
          <w:p w14:paraId="192D01C7" w14:textId="77777777" w:rsidR="0039330F" w:rsidRDefault="0039330F" w:rsidP="007314F3">
            <w:pPr>
              <w:rPr>
                <w:b/>
                <w:bCs/>
              </w:rPr>
            </w:pPr>
            <w:r>
              <w:fldChar w:fldCharType="begin">
                <w:ffData>
                  <w:name w:val="Check1"/>
                  <w:enabled/>
                  <w:calcOnExit w:val="0"/>
                  <w:checkBox>
                    <w:sizeAuto/>
                    <w:default w:val="0"/>
                  </w:checkBox>
                </w:ffData>
              </w:fldChar>
            </w:r>
            <w:r>
              <w:instrText xml:space="preserve"> FORMCHECKBOX </w:instrText>
            </w:r>
            <w:r w:rsidR="00342B3F">
              <w:fldChar w:fldCharType="separate"/>
            </w:r>
            <w:r>
              <w:fldChar w:fldCharType="end"/>
            </w:r>
            <w:r>
              <w:t xml:space="preserve"> Low</w:t>
            </w:r>
          </w:p>
        </w:tc>
        <w:tc>
          <w:tcPr>
            <w:tcW w:w="8005" w:type="dxa"/>
          </w:tcPr>
          <w:p w14:paraId="6EA9FA25" w14:textId="1FEA8521" w:rsidR="0039330F" w:rsidRPr="0039330F" w:rsidRDefault="0039330F" w:rsidP="007314F3">
            <w:r>
              <w:t xml:space="preserve">No training </w:t>
            </w:r>
            <w:r w:rsidR="00FE0ADC">
              <w:t>or technical assistance</w:t>
            </w:r>
            <w:r>
              <w:t xml:space="preserve"> needed unless requested. Check in as needed.</w:t>
            </w:r>
          </w:p>
        </w:tc>
      </w:tr>
      <w:tr w:rsidR="0039330F" w14:paraId="76F7036F" w14:textId="77777777" w:rsidTr="007314F3">
        <w:tc>
          <w:tcPr>
            <w:tcW w:w="1345" w:type="dxa"/>
          </w:tcPr>
          <w:p w14:paraId="156F1897" w14:textId="77777777" w:rsidR="0039330F" w:rsidRDefault="0039330F" w:rsidP="0039330F">
            <w:pPr>
              <w:rPr>
                <w:b/>
                <w:bCs/>
              </w:rPr>
            </w:pPr>
            <w:r>
              <w:fldChar w:fldCharType="begin">
                <w:ffData>
                  <w:name w:val="Check2"/>
                  <w:enabled/>
                  <w:calcOnExit w:val="0"/>
                  <w:checkBox>
                    <w:sizeAuto/>
                    <w:default w:val="0"/>
                  </w:checkBox>
                </w:ffData>
              </w:fldChar>
            </w:r>
            <w:r>
              <w:instrText xml:space="preserve"> FORMCHECKBOX </w:instrText>
            </w:r>
            <w:r w:rsidR="00342B3F">
              <w:fldChar w:fldCharType="separate"/>
            </w:r>
            <w:r>
              <w:fldChar w:fldCharType="end"/>
            </w:r>
            <w:r>
              <w:t xml:space="preserve"> Medium</w:t>
            </w:r>
          </w:p>
        </w:tc>
        <w:tc>
          <w:tcPr>
            <w:tcW w:w="8005" w:type="dxa"/>
          </w:tcPr>
          <w:p w14:paraId="620F1073" w14:textId="0BF76771" w:rsidR="0039330F" w:rsidRDefault="0039330F" w:rsidP="0039330F">
            <w:pPr>
              <w:rPr>
                <w:b/>
                <w:bCs/>
              </w:rPr>
            </w:pPr>
            <w:r>
              <w:t>Offer general or one</w:t>
            </w:r>
            <w:r w:rsidR="00FE0ADC">
              <w:t>-</w:t>
            </w:r>
            <w:r>
              <w:t xml:space="preserve">time training and </w:t>
            </w:r>
            <w:r w:rsidR="00FE0ADC">
              <w:t>technical assistance on issues related to the</w:t>
            </w:r>
            <w:r>
              <w:t xml:space="preserve"> INA</w:t>
            </w:r>
            <w:r w:rsidR="00FE0ADC">
              <w:t xml:space="preserve"> or UIO c</w:t>
            </w:r>
            <w:r>
              <w:t>ontract. Meet quarterly.</w:t>
            </w:r>
          </w:p>
        </w:tc>
      </w:tr>
      <w:tr w:rsidR="0039330F" w14:paraId="5641D876" w14:textId="77777777" w:rsidTr="007314F3">
        <w:tc>
          <w:tcPr>
            <w:tcW w:w="1345" w:type="dxa"/>
          </w:tcPr>
          <w:p w14:paraId="7D4BBC98" w14:textId="77777777" w:rsidR="0039330F" w:rsidRDefault="0039330F" w:rsidP="0039330F">
            <w:pPr>
              <w:rPr>
                <w:b/>
                <w:bCs/>
              </w:rPr>
            </w:pPr>
            <w:r>
              <w:fldChar w:fldCharType="begin">
                <w:ffData>
                  <w:name w:val="Check3"/>
                  <w:enabled/>
                  <w:calcOnExit w:val="0"/>
                  <w:checkBox>
                    <w:sizeAuto/>
                    <w:default w:val="0"/>
                  </w:checkBox>
                </w:ffData>
              </w:fldChar>
            </w:r>
            <w:r>
              <w:instrText xml:space="preserve"> FORMCHECKBOX </w:instrText>
            </w:r>
            <w:r w:rsidR="00342B3F">
              <w:fldChar w:fldCharType="separate"/>
            </w:r>
            <w:r>
              <w:fldChar w:fldCharType="end"/>
            </w:r>
            <w:r>
              <w:t xml:space="preserve"> High</w:t>
            </w:r>
          </w:p>
        </w:tc>
        <w:tc>
          <w:tcPr>
            <w:tcW w:w="8005" w:type="dxa"/>
          </w:tcPr>
          <w:p w14:paraId="5D8F1C69" w14:textId="7E2B5DA8" w:rsidR="0039330F" w:rsidRDefault="0039330F" w:rsidP="0039330F">
            <w:pPr>
              <w:rPr>
                <w:b/>
                <w:bCs/>
              </w:rPr>
            </w:pPr>
            <w:r>
              <w:t xml:space="preserve">Host multiple training and </w:t>
            </w:r>
            <w:r w:rsidR="00FE0ADC">
              <w:t>technical assistance</w:t>
            </w:r>
            <w:r>
              <w:t xml:space="preserve"> events. Meet monthly or weekly.</w:t>
            </w:r>
          </w:p>
        </w:tc>
      </w:tr>
    </w:tbl>
    <w:p w14:paraId="10CF9B6D" w14:textId="1CD84185" w:rsidR="0039330F" w:rsidRDefault="0039330F" w:rsidP="0039330F"/>
    <w:tbl>
      <w:tblPr>
        <w:tblStyle w:val="TableGrid"/>
        <w:tblW w:w="0" w:type="auto"/>
        <w:tblLook w:val="04A0" w:firstRow="1" w:lastRow="0" w:firstColumn="1" w:lastColumn="0" w:noHBand="0" w:noVBand="1"/>
      </w:tblPr>
      <w:tblGrid>
        <w:gridCol w:w="1345"/>
        <w:gridCol w:w="8005"/>
      </w:tblGrid>
      <w:tr w:rsidR="0039330F" w:rsidRPr="0039330F" w14:paraId="34322571" w14:textId="77777777" w:rsidTr="007314F3">
        <w:tc>
          <w:tcPr>
            <w:tcW w:w="9350" w:type="dxa"/>
            <w:gridSpan w:val="2"/>
          </w:tcPr>
          <w:p w14:paraId="1C884E57" w14:textId="657F359D" w:rsidR="0039330F" w:rsidRPr="0039330F" w:rsidRDefault="0039330F" w:rsidP="007314F3">
            <w:pPr>
              <w:rPr>
                <w:b/>
                <w:bCs/>
              </w:rPr>
            </w:pPr>
            <w:r w:rsidRPr="0039330F">
              <w:rPr>
                <w:b/>
                <w:bCs/>
              </w:rPr>
              <w:lastRenderedPageBreak/>
              <w:t xml:space="preserve">Desk Reviews </w:t>
            </w:r>
          </w:p>
        </w:tc>
      </w:tr>
      <w:tr w:rsidR="0039330F" w:rsidRPr="0039330F" w14:paraId="5867C4B0" w14:textId="77777777" w:rsidTr="007314F3">
        <w:tc>
          <w:tcPr>
            <w:tcW w:w="1345" w:type="dxa"/>
          </w:tcPr>
          <w:p w14:paraId="02D31E9F" w14:textId="77777777" w:rsidR="0039330F" w:rsidRDefault="0039330F" w:rsidP="007314F3">
            <w:pPr>
              <w:rPr>
                <w:b/>
                <w:bCs/>
              </w:rPr>
            </w:pPr>
            <w:r>
              <w:fldChar w:fldCharType="begin">
                <w:ffData>
                  <w:name w:val="Check1"/>
                  <w:enabled/>
                  <w:calcOnExit w:val="0"/>
                  <w:checkBox>
                    <w:sizeAuto/>
                    <w:default w:val="0"/>
                  </w:checkBox>
                </w:ffData>
              </w:fldChar>
            </w:r>
            <w:r>
              <w:instrText xml:space="preserve"> FORMCHECKBOX </w:instrText>
            </w:r>
            <w:r w:rsidR="00342B3F">
              <w:fldChar w:fldCharType="separate"/>
            </w:r>
            <w:r>
              <w:fldChar w:fldCharType="end"/>
            </w:r>
            <w:r>
              <w:t xml:space="preserve"> Low</w:t>
            </w:r>
          </w:p>
        </w:tc>
        <w:tc>
          <w:tcPr>
            <w:tcW w:w="8005" w:type="dxa"/>
          </w:tcPr>
          <w:p w14:paraId="784A6092" w14:textId="09180773" w:rsidR="0039330F" w:rsidRPr="0039330F" w:rsidRDefault="0039330F" w:rsidP="007314F3">
            <w:r>
              <w:t>No desk review is needed on a regular basis.</w:t>
            </w:r>
          </w:p>
        </w:tc>
      </w:tr>
      <w:tr w:rsidR="0039330F" w14:paraId="236DD793" w14:textId="77777777" w:rsidTr="00062319">
        <w:trPr>
          <w:trHeight w:val="548"/>
        </w:trPr>
        <w:tc>
          <w:tcPr>
            <w:tcW w:w="1345" w:type="dxa"/>
          </w:tcPr>
          <w:p w14:paraId="1FF18A40" w14:textId="77777777" w:rsidR="0039330F" w:rsidRDefault="0039330F" w:rsidP="007314F3">
            <w:pPr>
              <w:rPr>
                <w:b/>
                <w:bCs/>
              </w:rPr>
            </w:pPr>
            <w:r>
              <w:fldChar w:fldCharType="begin">
                <w:ffData>
                  <w:name w:val="Check2"/>
                  <w:enabled/>
                  <w:calcOnExit w:val="0"/>
                  <w:checkBox>
                    <w:sizeAuto/>
                    <w:default w:val="0"/>
                  </w:checkBox>
                </w:ffData>
              </w:fldChar>
            </w:r>
            <w:r>
              <w:instrText xml:space="preserve"> FORMCHECKBOX </w:instrText>
            </w:r>
            <w:r w:rsidR="00342B3F">
              <w:fldChar w:fldCharType="separate"/>
            </w:r>
            <w:r>
              <w:fldChar w:fldCharType="end"/>
            </w:r>
            <w:r>
              <w:t xml:space="preserve"> Medium</w:t>
            </w:r>
          </w:p>
        </w:tc>
        <w:tc>
          <w:tcPr>
            <w:tcW w:w="8005" w:type="dxa"/>
          </w:tcPr>
          <w:p w14:paraId="10518BD3" w14:textId="25468250" w:rsidR="0039330F" w:rsidRPr="00062319" w:rsidRDefault="0039330F" w:rsidP="007314F3">
            <w:r>
              <w:t xml:space="preserve">Conduct </w:t>
            </w:r>
            <w:r w:rsidR="00062319">
              <w:t xml:space="preserve">programmatic </w:t>
            </w:r>
            <w:r>
              <w:t>desk reviews every two years.</w:t>
            </w:r>
            <w:r w:rsidR="00062319">
              <w:t xml:space="preserve"> Conduct fiscal audit review when there are </w:t>
            </w:r>
            <w:r w:rsidR="00E100E8">
              <w:t>complaints,</w:t>
            </w:r>
            <w:r w:rsidR="00062319">
              <w:t xml:space="preserve"> or</w:t>
            </w:r>
            <w:r w:rsidR="00FE0ADC">
              <w:t xml:space="preserve"> a</w:t>
            </w:r>
            <w:r w:rsidR="00062319">
              <w:t xml:space="preserve"> risk of fraud</w:t>
            </w:r>
            <w:r w:rsidR="00FE0ADC">
              <w:t xml:space="preserve"> exists</w:t>
            </w:r>
            <w:r w:rsidR="00062319">
              <w:t xml:space="preserve">. </w:t>
            </w:r>
          </w:p>
        </w:tc>
      </w:tr>
      <w:tr w:rsidR="0039330F" w14:paraId="588A0AAE" w14:textId="77777777" w:rsidTr="007314F3">
        <w:tc>
          <w:tcPr>
            <w:tcW w:w="1345" w:type="dxa"/>
          </w:tcPr>
          <w:p w14:paraId="47F3E58A" w14:textId="77777777" w:rsidR="0039330F" w:rsidRDefault="0039330F" w:rsidP="007314F3">
            <w:pPr>
              <w:rPr>
                <w:b/>
                <w:bCs/>
              </w:rPr>
            </w:pPr>
            <w:r>
              <w:fldChar w:fldCharType="begin">
                <w:ffData>
                  <w:name w:val="Check3"/>
                  <w:enabled/>
                  <w:calcOnExit w:val="0"/>
                  <w:checkBox>
                    <w:sizeAuto/>
                    <w:default w:val="0"/>
                  </w:checkBox>
                </w:ffData>
              </w:fldChar>
            </w:r>
            <w:r>
              <w:instrText xml:space="preserve"> FORMCHECKBOX </w:instrText>
            </w:r>
            <w:r w:rsidR="00342B3F">
              <w:fldChar w:fldCharType="separate"/>
            </w:r>
            <w:r>
              <w:fldChar w:fldCharType="end"/>
            </w:r>
            <w:r>
              <w:t xml:space="preserve"> High</w:t>
            </w:r>
          </w:p>
        </w:tc>
        <w:tc>
          <w:tcPr>
            <w:tcW w:w="8005" w:type="dxa"/>
          </w:tcPr>
          <w:p w14:paraId="72B9AF61" w14:textId="112F62F2" w:rsidR="0039330F" w:rsidRDefault="0039330F" w:rsidP="007314F3">
            <w:pPr>
              <w:rPr>
                <w:b/>
                <w:bCs/>
              </w:rPr>
            </w:pPr>
            <w:r>
              <w:t xml:space="preserve">Conduct </w:t>
            </w:r>
            <w:r w:rsidR="00E100E8">
              <w:t>bi-annual</w:t>
            </w:r>
            <w:r>
              <w:t xml:space="preserve"> desk review including fiscal</w:t>
            </w:r>
            <w:r w:rsidR="00062319">
              <w:t xml:space="preserve"> audit</w:t>
            </w:r>
            <w:r>
              <w:t xml:space="preserve"> </w:t>
            </w:r>
            <w:r w:rsidR="00062319">
              <w:t xml:space="preserve">sample (1 quarter) </w:t>
            </w:r>
            <w:r>
              <w:t>review.</w:t>
            </w:r>
          </w:p>
        </w:tc>
      </w:tr>
    </w:tbl>
    <w:p w14:paraId="2F564B02" w14:textId="67BDF525" w:rsidR="0039330F" w:rsidRDefault="0039330F" w:rsidP="0039330F"/>
    <w:tbl>
      <w:tblPr>
        <w:tblStyle w:val="TableGrid"/>
        <w:tblW w:w="0" w:type="auto"/>
        <w:tblLook w:val="04A0" w:firstRow="1" w:lastRow="0" w:firstColumn="1" w:lastColumn="0" w:noHBand="0" w:noVBand="1"/>
      </w:tblPr>
      <w:tblGrid>
        <w:gridCol w:w="1345"/>
        <w:gridCol w:w="8005"/>
      </w:tblGrid>
      <w:tr w:rsidR="0039330F" w:rsidRPr="0039330F" w14:paraId="5C68D617" w14:textId="77777777" w:rsidTr="007314F3">
        <w:tc>
          <w:tcPr>
            <w:tcW w:w="9350" w:type="dxa"/>
            <w:gridSpan w:val="2"/>
          </w:tcPr>
          <w:p w14:paraId="2923C5D2" w14:textId="77777777" w:rsidR="0039330F" w:rsidRPr="0039330F" w:rsidRDefault="0039330F" w:rsidP="007314F3">
            <w:pPr>
              <w:rPr>
                <w:b/>
                <w:bCs/>
              </w:rPr>
            </w:pPr>
            <w:r w:rsidRPr="0039330F">
              <w:rPr>
                <w:b/>
                <w:bCs/>
              </w:rPr>
              <w:t xml:space="preserve">Develop agreed upon procedures </w:t>
            </w:r>
          </w:p>
        </w:tc>
      </w:tr>
      <w:tr w:rsidR="0039330F" w:rsidRPr="0039330F" w14:paraId="17FFEFF7" w14:textId="77777777" w:rsidTr="007314F3">
        <w:tc>
          <w:tcPr>
            <w:tcW w:w="1345" w:type="dxa"/>
          </w:tcPr>
          <w:p w14:paraId="3CEA112A" w14:textId="77777777" w:rsidR="0039330F" w:rsidRDefault="0039330F" w:rsidP="007314F3">
            <w:pPr>
              <w:rPr>
                <w:b/>
                <w:bCs/>
              </w:rPr>
            </w:pPr>
            <w:r>
              <w:fldChar w:fldCharType="begin">
                <w:ffData>
                  <w:name w:val="Check1"/>
                  <w:enabled/>
                  <w:calcOnExit w:val="0"/>
                  <w:checkBox>
                    <w:sizeAuto/>
                    <w:default w:val="0"/>
                  </w:checkBox>
                </w:ffData>
              </w:fldChar>
            </w:r>
            <w:r>
              <w:instrText xml:space="preserve"> FORMCHECKBOX </w:instrText>
            </w:r>
            <w:r w:rsidR="00342B3F">
              <w:fldChar w:fldCharType="separate"/>
            </w:r>
            <w:r>
              <w:fldChar w:fldCharType="end"/>
            </w:r>
            <w:r>
              <w:t xml:space="preserve"> Low</w:t>
            </w:r>
          </w:p>
        </w:tc>
        <w:tc>
          <w:tcPr>
            <w:tcW w:w="8005" w:type="dxa"/>
          </w:tcPr>
          <w:p w14:paraId="7AA145CE" w14:textId="77777777" w:rsidR="0039330F" w:rsidRPr="0039330F" w:rsidRDefault="0039330F" w:rsidP="007314F3">
            <w:r>
              <w:t xml:space="preserve">No additional procedures are needed. </w:t>
            </w:r>
          </w:p>
        </w:tc>
      </w:tr>
      <w:tr w:rsidR="0039330F" w14:paraId="6B333F5F" w14:textId="77777777" w:rsidTr="007314F3">
        <w:tc>
          <w:tcPr>
            <w:tcW w:w="1345" w:type="dxa"/>
          </w:tcPr>
          <w:p w14:paraId="50A5A195" w14:textId="77777777" w:rsidR="0039330F" w:rsidRDefault="0039330F" w:rsidP="007314F3">
            <w:pPr>
              <w:rPr>
                <w:b/>
                <w:bCs/>
              </w:rPr>
            </w:pPr>
            <w:r>
              <w:fldChar w:fldCharType="begin">
                <w:ffData>
                  <w:name w:val="Check2"/>
                  <w:enabled/>
                  <w:calcOnExit w:val="0"/>
                  <w:checkBox>
                    <w:sizeAuto/>
                    <w:default w:val="0"/>
                  </w:checkBox>
                </w:ffData>
              </w:fldChar>
            </w:r>
            <w:r>
              <w:instrText xml:space="preserve"> FORMCHECKBOX </w:instrText>
            </w:r>
            <w:r w:rsidR="00342B3F">
              <w:fldChar w:fldCharType="separate"/>
            </w:r>
            <w:r>
              <w:fldChar w:fldCharType="end"/>
            </w:r>
            <w:r>
              <w:t xml:space="preserve"> Medium</w:t>
            </w:r>
          </w:p>
        </w:tc>
        <w:tc>
          <w:tcPr>
            <w:tcW w:w="8005" w:type="dxa"/>
          </w:tcPr>
          <w:p w14:paraId="7D34BC93" w14:textId="597079E2" w:rsidR="0039330F" w:rsidRDefault="0039330F" w:rsidP="007314F3">
            <w:pPr>
              <w:rPr>
                <w:b/>
                <w:bCs/>
              </w:rPr>
            </w:pPr>
            <w:r>
              <w:t xml:space="preserve">Add additional minor procedures. Examples </w:t>
            </w:r>
            <w:r w:rsidR="00FE0ADC">
              <w:t xml:space="preserve">include, create a performance improvement plan, meet regularly at longer frequencies. </w:t>
            </w:r>
          </w:p>
        </w:tc>
      </w:tr>
      <w:tr w:rsidR="0039330F" w14:paraId="280CA8A5" w14:textId="77777777" w:rsidTr="007314F3">
        <w:tc>
          <w:tcPr>
            <w:tcW w:w="1345" w:type="dxa"/>
          </w:tcPr>
          <w:p w14:paraId="281315FA" w14:textId="77777777" w:rsidR="0039330F" w:rsidRDefault="0039330F" w:rsidP="007314F3">
            <w:pPr>
              <w:rPr>
                <w:b/>
                <w:bCs/>
              </w:rPr>
            </w:pPr>
            <w:r>
              <w:fldChar w:fldCharType="begin">
                <w:ffData>
                  <w:name w:val="Check3"/>
                  <w:enabled/>
                  <w:calcOnExit w:val="0"/>
                  <w:checkBox>
                    <w:sizeAuto/>
                    <w:default w:val="0"/>
                  </w:checkBox>
                </w:ffData>
              </w:fldChar>
            </w:r>
            <w:r>
              <w:instrText xml:space="preserve"> FORMCHECKBOX </w:instrText>
            </w:r>
            <w:r w:rsidR="00342B3F">
              <w:fldChar w:fldCharType="separate"/>
            </w:r>
            <w:r>
              <w:fldChar w:fldCharType="end"/>
            </w:r>
            <w:r>
              <w:t xml:space="preserve"> High</w:t>
            </w:r>
          </w:p>
        </w:tc>
        <w:tc>
          <w:tcPr>
            <w:tcW w:w="8005" w:type="dxa"/>
          </w:tcPr>
          <w:p w14:paraId="7F3ED209" w14:textId="2FC40156" w:rsidR="0039330F" w:rsidRDefault="0039330F" w:rsidP="007314F3">
            <w:pPr>
              <w:rPr>
                <w:b/>
                <w:bCs/>
              </w:rPr>
            </w:pPr>
            <w:r>
              <w:t xml:space="preserve">Add significant additional procedures: </w:t>
            </w:r>
            <w:r w:rsidR="00FE0ADC">
              <w:t xml:space="preserve">Examples include, request and follow a corrective action plan, establish frequent meetings to discuss agreements/contract deliverables, communicate with Tribal elected leadership and executive level staff within the Tribe, establish formal communications via DTLL for compliance concerns. </w:t>
            </w:r>
          </w:p>
        </w:tc>
      </w:tr>
    </w:tbl>
    <w:p w14:paraId="7D72689A" w14:textId="77777777" w:rsidR="0039330F" w:rsidRDefault="0039330F" w:rsidP="0039330F"/>
    <w:p w14:paraId="57ED868C" w14:textId="37FF226C" w:rsidR="00DC57AD" w:rsidRDefault="00DC57AD" w:rsidP="0039330F">
      <w:pPr>
        <w:rPr>
          <w:b/>
          <w:bCs/>
        </w:rPr>
      </w:pPr>
      <w:r>
        <w:rPr>
          <w:b/>
          <w:bCs/>
        </w:rPr>
        <w:t>Background and References</w:t>
      </w:r>
    </w:p>
    <w:tbl>
      <w:tblPr>
        <w:tblStyle w:val="TableGrid1"/>
        <w:tblW w:w="10710" w:type="dxa"/>
        <w:tblInd w:w="-545" w:type="dxa"/>
        <w:tblLook w:val="04A0" w:firstRow="1" w:lastRow="0" w:firstColumn="1" w:lastColumn="0" w:noHBand="0" w:noVBand="1"/>
      </w:tblPr>
      <w:tblGrid>
        <w:gridCol w:w="2250"/>
        <w:gridCol w:w="8460"/>
      </w:tblGrid>
      <w:tr w:rsidR="0022435B" w:rsidRPr="0022435B" w14:paraId="5E44F6CB" w14:textId="77777777" w:rsidTr="0022435B">
        <w:tc>
          <w:tcPr>
            <w:tcW w:w="22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46DFDE" w14:textId="77777777" w:rsidR="0022435B" w:rsidRPr="0022435B" w:rsidRDefault="0022435B" w:rsidP="0022435B">
            <w:r w:rsidRPr="0022435B">
              <w:t>CFR Reference</w:t>
            </w:r>
          </w:p>
        </w:tc>
        <w:tc>
          <w:tcPr>
            <w:tcW w:w="84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06F714" w14:textId="77777777" w:rsidR="0022435B" w:rsidRPr="0022435B" w:rsidRDefault="0022435B" w:rsidP="0022435B">
            <w:r w:rsidRPr="0022435B">
              <w:t>CFR Content</w:t>
            </w:r>
          </w:p>
        </w:tc>
      </w:tr>
      <w:tr w:rsidR="0022435B" w:rsidRPr="0022435B" w14:paraId="0D3464F1" w14:textId="77777777" w:rsidTr="0022435B">
        <w:tc>
          <w:tcPr>
            <w:tcW w:w="2250" w:type="dxa"/>
            <w:tcBorders>
              <w:top w:val="single" w:sz="4" w:space="0" w:color="auto"/>
              <w:left w:val="single" w:sz="4" w:space="0" w:color="auto"/>
              <w:bottom w:val="single" w:sz="4" w:space="0" w:color="auto"/>
              <w:right w:val="single" w:sz="4" w:space="0" w:color="auto"/>
            </w:tcBorders>
            <w:hideMark/>
          </w:tcPr>
          <w:p w14:paraId="7DBC02E6" w14:textId="77777777" w:rsidR="0022435B" w:rsidRPr="0022435B" w:rsidRDefault="0022435B" w:rsidP="0022435B">
            <w:r w:rsidRPr="0022435B">
              <w:t>2 CFR 200.332(b) – Subrecipient Risk Assessment</w:t>
            </w:r>
          </w:p>
        </w:tc>
        <w:tc>
          <w:tcPr>
            <w:tcW w:w="8460" w:type="dxa"/>
            <w:tcBorders>
              <w:top w:val="single" w:sz="4" w:space="0" w:color="auto"/>
              <w:left w:val="single" w:sz="4" w:space="0" w:color="auto"/>
              <w:bottom w:val="single" w:sz="4" w:space="0" w:color="auto"/>
              <w:right w:val="single" w:sz="4" w:space="0" w:color="auto"/>
            </w:tcBorders>
          </w:tcPr>
          <w:p w14:paraId="0C23C60D" w14:textId="063179FA" w:rsidR="0022435B" w:rsidRPr="0022435B" w:rsidRDefault="0022435B" w:rsidP="00143328">
            <w:pPr>
              <w:spacing w:after="120"/>
              <w:rPr>
                <w:rFonts w:eastAsia="Times New Roman" w:cs="Calibri"/>
              </w:rPr>
            </w:pPr>
            <w:r w:rsidRPr="0022435B">
              <w:rPr>
                <w:rFonts w:eastAsia="Times New Roman" w:cs="Calibri"/>
              </w:rPr>
              <w:t xml:space="preserve">(b) Evaluate each subrecipient's risk of noncompliance with Federal statutes, regulations, and the terms and conditions of the subaward for purposes of determining the appropriate subrecipient monitoring described in </w:t>
            </w:r>
            <w:hyperlink r:id="rId8" w:anchor="p-200.332(d)" w:history="1">
              <w:r w:rsidRPr="0022435B">
                <w:rPr>
                  <w:rFonts w:eastAsia="Times New Roman" w:cs="Calibri"/>
                  <w:color w:val="0000FF"/>
                  <w:u w:val="single"/>
                </w:rPr>
                <w:t>paragraphs (d)</w:t>
              </w:r>
            </w:hyperlink>
            <w:r w:rsidRPr="0022435B">
              <w:rPr>
                <w:rFonts w:eastAsia="Times New Roman" w:cs="Calibri"/>
              </w:rPr>
              <w:t xml:space="preserve"> and </w:t>
            </w:r>
            <w:hyperlink r:id="rId9" w:anchor="p-200.332(e)" w:history="1">
              <w:r w:rsidRPr="0022435B">
                <w:rPr>
                  <w:rFonts w:eastAsia="Times New Roman" w:cs="Calibri"/>
                  <w:color w:val="0000FF"/>
                  <w:u w:val="single"/>
                </w:rPr>
                <w:t>(e)</w:t>
              </w:r>
            </w:hyperlink>
            <w:r w:rsidRPr="0022435B">
              <w:rPr>
                <w:rFonts w:eastAsia="Times New Roman" w:cs="Calibri"/>
              </w:rPr>
              <w:t xml:space="preserve"> of this section</w:t>
            </w:r>
            <w:r w:rsidRPr="0021689B">
              <w:rPr>
                <w:rFonts w:eastAsia="Times New Roman" w:cs="Calibri"/>
              </w:rPr>
              <w:t>, which may include</w:t>
            </w:r>
            <w:r w:rsidRPr="0022435B">
              <w:rPr>
                <w:rFonts w:eastAsia="Times New Roman" w:cs="Calibri"/>
              </w:rPr>
              <w:t xml:space="preserve"> consideration of such factors as: </w:t>
            </w:r>
          </w:p>
          <w:p w14:paraId="5371946C" w14:textId="3E910A6D" w:rsidR="0022435B" w:rsidRPr="00143328" w:rsidRDefault="0022435B" w:rsidP="00143328">
            <w:pPr>
              <w:pStyle w:val="ListParagraph"/>
              <w:numPr>
                <w:ilvl w:val="0"/>
                <w:numId w:val="21"/>
              </w:numPr>
              <w:ind w:left="720" w:hanging="288"/>
              <w:rPr>
                <w:rFonts w:eastAsia="Times New Roman" w:cs="Calibri"/>
              </w:rPr>
            </w:pPr>
            <w:r w:rsidRPr="00143328">
              <w:rPr>
                <w:rFonts w:eastAsia="Times New Roman" w:cs="Calibri"/>
              </w:rPr>
              <w:t xml:space="preserve">The subrecipient's prior experience with the same or similar </w:t>
            </w:r>
            <w:proofErr w:type="gramStart"/>
            <w:r w:rsidRPr="00143328">
              <w:rPr>
                <w:rFonts w:eastAsia="Times New Roman" w:cs="Calibri"/>
              </w:rPr>
              <w:t>subawards;</w:t>
            </w:r>
            <w:proofErr w:type="gramEnd"/>
            <w:r w:rsidRPr="00143328">
              <w:rPr>
                <w:rFonts w:eastAsia="Times New Roman" w:cs="Calibri"/>
              </w:rPr>
              <w:t xml:space="preserve"> </w:t>
            </w:r>
          </w:p>
          <w:p w14:paraId="4757D9D0" w14:textId="039A5C52" w:rsidR="0022435B" w:rsidRPr="00143328" w:rsidRDefault="0022435B" w:rsidP="00143328">
            <w:pPr>
              <w:pStyle w:val="ListParagraph"/>
              <w:numPr>
                <w:ilvl w:val="0"/>
                <w:numId w:val="21"/>
              </w:numPr>
              <w:ind w:left="720" w:hanging="288"/>
              <w:rPr>
                <w:rFonts w:eastAsia="Times New Roman" w:cs="Calibri"/>
              </w:rPr>
            </w:pPr>
            <w:r w:rsidRPr="00143328">
              <w:rPr>
                <w:rFonts w:eastAsia="Times New Roman" w:cs="Calibri"/>
              </w:rPr>
              <w:t xml:space="preserve">The results of previous audits including whether or not the subrecipient receives a Single Audit in accordance with </w:t>
            </w:r>
            <w:hyperlink r:id="rId10" w:history="1">
              <w:r w:rsidRPr="00143328">
                <w:rPr>
                  <w:rFonts w:eastAsia="Times New Roman" w:cs="Calibri"/>
                  <w:color w:val="0000FF"/>
                  <w:u w:val="single"/>
                </w:rPr>
                <w:t>Subpart F of this part</w:t>
              </w:r>
            </w:hyperlink>
            <w:r w:rsidRPr="00143328">
              <w:rPr>
                <w:rFonts w:eastAsia="Times New Roman" w:cs="Calibri"/>
              </w:rPr>
              <w:t xml:space="preserve">, and the extent to which the same or similar subaward has been audited as a major program; </w:t>
            </w:r>
          </w:p>
          <w:p w14:paraId="104BCD98" w14:textId="68DC473E" w:rsidR="0022435B" w:rsidRPr="00143328" w:rsidRDefault="00143328" w:rsidP="00143328">
            <w:pPr>
              <w:pStyle w:val="ListParagraph"/>
              <w:numPr>
                <w:ilvl w:val="0"/>
                <w:numId w:val="21"/>
              </w:numPr>
              <w:ind w:left="720" w:hanging="288"/>
              <w:rPr>
                <w:rFonts w:eastAsia="Times New Roman" w:cs="Calibri"/>
              </w:rPr>
            </w:pPr>
            <w:r w:rsidRPr="00143328">
              <w:rPr>
                <w:rFonts w:eastAsia="Times New Roman" w:cs="Calibri"/>
              </w:rPr>
              <w:t>Whether</w:t>
            </w:r>
            <w:r w:rsidR="0022435B" w:rsidRPr="00143328">
              <w:rPr>
                <w:rFonts w:eastAsia="Times New Roman" w:cs="Calibri"/>
              </w:rPr>
              <w:t xml:space="preserve"> the subrecipient has new personnel or new or substantially changed systems; and </w:t>
            </w:r>
          </w:p>
          <w:p w14:paraId="471AE934" w14:textId="5C3A5F37" w:rsidR="0022435B" w:rsidRPr="00143328" w:rsidRDefault="00143328" w:rsidP="00143328">
            <w:pPr>
              <w:pStyle w:val="ListParagraph"/>
              <w:numPr>
                <w:ilvl w:val="0"/>
                <w:numId w:val="21"/>
              </w:numPr>
              <w:ind w:left="720" w:hanging="288"/>
              <w:rPr>
                <w:rFonts w:eastAsia="Times New Roman" w:cs="Calibri"/>
              </w:rPr>
            </w:pPr>
            <w:r w:rsidRPr="00143328">
              <w:rPr>
                <w:rFonts w:eastAsia="Times New Roman" w:cs="Calibri"/>
              </w:rPr>
              <w:t>The</w:t>
            </w:r>
            <w:r w:rsidR="0022435B" w:rsidRPr="00143328">
              <w:rPr>
                <w:rFonts w:eastAsia="Times New Roman" w:cs="Calibri"/>
              </w:rPr>
              <w:t xml:space="preserve"> extent and results of Federal awarding agency monitoring (</w:t>
            </w:r>
            <w:r w:rsidR="0022435B" w:rsidRPr="00143328">
              <w:rPr>
                <w:rFonts w:eastAsia="Times New Roman" w:cs="Calibri"/>
                <w:i/>
                <w:iCs/>
              </w:rPr>
              <w:t>e.g.,</w:t>
            </w:r>
            <w:r w:rsidR="0022435B" w:rsidRPr="00143328">
              <w:rPr>
                <w:rFonts w:eastAsia="Times New Roman" w:cs="Calibri"/>
              </w:rPr>
              <w:t xml:space="preserve"> if the subrecipient also receives Federal awards directly from a Federal awarding agency).</w:t>
            </w:r>
          </w:p>
          <w:p w14:paraId="6E715770" w14:textId="77777777" w:rsidR="0022435B" w:rsidRPr="0022435B" w:rsidRDefault="0022435B" w:rsidP="0022435B"/>
        </w:tc>
      </w:tr>
      <w:tr w:rsidR="0022435B" w:rsidRPr="0022435B" w14:paraId="20D188C5" w14:textId="77777777" w:rsidTr="0022435B">
        <w:tc>
          <w:tcPr>
            <w:tcW w:w="2250" w:type="dxa"/>
            <w:tcBorders>
              <w:top w:val="single" w:sz="4" w:space="0" w:color="auto"/>
              <w:left w:val="single" w:sz="4" w:space="0" w:color="auto"/>
              <w:bottom w:val="single" w:sz="4" w:space="0" w:color="auto"/>
              <w:right w:val="single" w:sz="4" w:space="0" w:color="auto"/>
            </w:tcBorders>
            <w:hideMark/>
          </w:tcPr>
          <w:p w14:paraId="2E1131C4" w14:textId="77777777" w:rsidR="0022435B" w:rsidRPr="0022435B" w:rsidRDefault="0022435B" w:rsidP="0022435B">
            <w:r w:rsidRPr="0022435B">
              <w:t>2 CFR 200.332(d) and (e) - Monitoring</w:t>
            </w:r>
          </w:p>
        </w:tc>
        <w:tc>
          <w:tcPr>
            <w:tcW w:w="8460" w:type="dxa"/>
            <w:tcBorders>
              <w:top w:val="single" w:sz="4" w:space="0" w:color="auto"/>
              <w:left w:val="single" w:sz="4" w:space="0" w:color="auto"/>
              <w:bottom w:val="single" w:sz="4" w:space="0" w:color="auto"/>
              <w:right w:val="single" w:sz="4" w:space="0" w:color="auto"/>
            </w:tcBorders>
          </w:tcPr>
          <w:p w14:paraId="279C1BC9" w14:textId="18F69ABA" w:rsidR="0022435B" w:rsidRPr="0022435B" w:rsidRDefault="0022435B" w:rsidP="00BC37A8">
            <w:pPr>
              <w:spacing w:after="120"/>
              <w:rPr>
                <w:rFonts w:eastAsia="Times New Roman" w:cs="Calibri"/>
              </w:rPr>
            </w:pPr>
            <w:r w:rsidRPr="0022435B">
              <w:rPr>
                <w:rFonts w:eastAsia="Times New Roman" w:cs="Calibri"/>
              </w:rPr>
              <w:t xml:space="preserve">d) Monitor the activities of the subrecipient as necessary to ensure that the subaward is used for authorized purposes, in compliance with Federal statutes, regulations, and the terms and conditions of the subaward; and that subaward performance goals are achieved. Pass-through entity monitoring of the subrecipient must include: </w:t>
            </w:r>
          </w:p>
          <w:p w14:paraId="2AE2AF35" w14:textId="1A998EE9" w:rsidR="0022435B" w:rsidRPr="00BC37A8" w:rsidRDefault="0022435B" w:rsidP="00BC37A8">
            <w:pPr>
              <w:pStyle w:val="ListParagraph"/>
              <w:numPr>
                <w:ilvl w:val="0"/>
                <w:numId w:val="24"/>
              </w:numPr>
              <w:rPr>
                <w:rFonts w:eastAsia="Times New Roman" w:cs="Calibri"/>
              </w:rPr>
            </w:pPr>
            <w:r w:rsidRPr="00BC37A8">
              <w:rPr>
                <w:rFonts w:eastAsia="Times New Roman" w:cs="Calibri"/>
              </w:rPr>
              <w:t xml:space="preserve">Reviewing financial and performance reports required by the pass-through entity. </w:t>
            </w:r>
          </w:p>
          <w:p w14:paraId="55685F24" w14:textId="15C1B691" w:rsidR="0022435B" w:rsidRPr="00BC37A8" w:rsidRDefault="0022435B" w:rsidP="00BC37A8">
            <w:pPr>
              <w:pStyle w:val="ListParagraph"/>
              <w:numPr>
                <w:ilvl w:val="0"/>
                <w:numId w:val="24"/>
              </w:numPr>
              <w:ind w:left="720" w:hanging="288"/>
              <w:rPr>
                <w:rFonts w:eastAsia="Times New Roman" w:cs="Calibri"/>
              </w:rPr>
            </w:pPr>
            <w:r w:rsidRPr="00BC37A8">
              <w:rPr>
                <w:rFonts w:eastAsia="Times New Roman" w:cs="Calibri"/>
              </w:rPr>
              <w:t xml:space="preserve">Following-up and ensuring that the subrecipient takes timely and appropriate action on all deficiencies pertaining to the Federal award provided to the subrecipient from the pass-through entity detected through audits, on-site reviews, and written confirmation from the subrecipient, highlighting the status of actions planned or taken to address Single Audit findings related to the </w:t>
            </w:r>
            <w:proofErr w:type="gramStart"/>
            <w:r w:rsidRPr="00BC37A8">
              <w:rPr>
                <w:rFonts w:eastAsia="Times New Roman" w:cs="Calibri"/>
              </w:rPr>
              <w:t>particular subaward</w:t>
            </w:r>
            <w:proofErr w:type="gramEnd"/>
            <w:r w:rsidRPr="00BC37A8">
              <w:rPr>
                <w:rFonts w:eastAsia="Times New Roman" w:cs="Calibri"/>
              </w:rPr>
              <w:t xml:space="preserve">. </w:t>
            </w:r>
          </w:p>
          <w:p w14:paraId="2016CE95" w14:textId="7944CF15" w:rsidR="0022435B" w:rsidRPr="00BC37A8" w:rsidRDefault="0022435B" w:rsidP="00BC37A8">
            <w:pPr>
              <w:pStyle w:val="ListParagraph"/>
              <w:numPr>
                <w:ilvl w:val="0"/>
                <w:numId w:val="24"/>
              </w:numPr>
              <w:ind w:left="720" w:hanging="288"/>
              <w:rPr>
                <w:rFonts w:eastAsia="Times New Roman" w:cs="Calibri"/>
              </w:rPr>
            </w:pPr>
            <w:r w:rsidRPr="00BC37A8">
              <w:rPr>
                <w:rFonts w:eastAsia="Times New Roman" w:cs="Calibri"/>
              </w:rPr>
              <w:t xml:space="preserve">Issuing a management decision for applicable audit findings pertaining only to the Federal award provided to the subrecipient from the pass-through entity as required by § 200.521. </w:t>
            </w:r>
          </w:p>
          <w:p w14:paraId="66AE34E8" w14:textId="160632DB" w:rsidR="0022435B" w:rsidRPr="00BC37A8" w:rsidRDefault="0022435B" w:rsidP="00BC37A8">
            <w:pPr>
              <w:pStyle w:val="ListParagraph"/>
              <w:numPr>
                <w:ilvl w:val="0"/>
                <w:numId w:val="24"/>
              </w:numPr>
              <w:spacing w:after="120"/>
              <w:ind w:left="720" w:hanging="288"/>
              <w:rPr>
                <w:rFonts w:eastAsia="Times New Roman" w:cs="Calibri"/>
              </w:rPr>
            </w:pPr>
            <w:r w:rsidRPr="00BC37A8">
              <w:rPr>
                <w:rFonts w:eastAsia="Times New Roman" w:cs="Calibri"/>
              </w:rPr>
              <w:t xml:space="preserve">The pass-through entity is responsible for resolving audit findings specifically related to the subaward and not responsible for resolving crosscutting findings. If a subrecipient has a current Single Audit report posted in the Federal Audit Clearinghouse and has not otherwise been excluded from receipt of Federal funding (e.g., has been debarred or suspended), the pass-through entity may rely on the subrecipient's cognizant audit agency or cognizant oversight agency to perform audit follow-up and make management decisions related to cross-cutting findings in accordance with section § 200.513(a)(3)(vii). Such reliance does not eliminate the responsibility of the pass-through entity to issue subawards that conform to agency and award-specific requirements, to manage risk through ongoing subaward monitoring, and to monitor the status of the findings that are specifically related to the subaward. </w:t>
            </w:r>
          </w:p>
          <w:p w14:paraId="15FC59EB" w14:textId="194726FC" w:rsidR="0022435B" w:rsidRPr="0022435B" w:rsidRDefault="0022435B" w:rsidP="00BC37A8">
            <w:pPr>
              <w:spacing w:after="120"/>
              <w:rPr>
                <w:rFonts w:eastAsia="Times New Roman" w:cs="Calibri"/>
              </w:rPr>
            </w:pPr>
            <w:r w:rsidRPr="0022435B">
              <w:rPr>
                <w:rFonts w:eastAsia="Times New Roman" w:cs="Calibri"/>
              </w:rPr>
              <w:t xml:space="preserve">(e) Depending upon the pass-through entity's assessment of risk posed by the subrecipient (as described in paragraph (b) of this section), the following monitoring tools may be useful for the pass-through entity to ensure proper accountability and compliance with program requirements and achievement of performance goals: </w:t>
            </w:r>
          </w:p>
          <w:p w14:paraId="0D123AC1" w14:textId="196990D1" w:rsidR="0022435B" w:rsidRPr="0022435B" w:rsidRDefault="0022435B" w:rsidP="00BC37A8">
            <w:pPr>
              <w:pStyle w:val="ListParagraph"/>
              <w:numPr>
                <w:ilvl w:val="0"/>
                <w:numId w:val="26"/>
              </w:numPr>
              <w:rPr>
                <w:rFonts w:eastAsia="Times New Roman" w:cs="Calibri"/>
              </w:rPr>
            </w:pPr>
            <w:r w:rsidRPr="0022435B">
              <w:rPr>
                <w:rFonts w:eastAsia="Times New Roman" w:cs="Calibri"/>
              </w:rPr>
              <w:t xml:space="preserve">Providing subrecipients with training and technical assistance on program-related matters; and </w:t>
            </w:r>
          </w:p>
          <w:p w14:paraId="0F64C24D" w14:textId="10765140" w:rsidR="0022435B" w:rsidRPr="0022435B" w:rsidRDefault="0022435B" w:rsidP="00BC37A8">
            <w:pPr>
              <w:pStyle w:val="ListParagraph"/>
              <w:numPr>
                <w:ilvl w:val="0"/>
                <w:numId w:val="26"/>
              </w:numPr>
              <w:spacing w:after="120"/>
              <w:ind w:left="720" w:hanging="288"/>
              <w:rPr>
                <w:rFonts w:eastAsia="Times New Roman" w:cs="Calibri"/>
              </w:rPr>
            </w:pPr>
            <w:r w:rsidRPr="0022435B">
              <w:rPr>
                <w:rFonts w:eastAsia="Times New Roman" w:cs="Calibri"/>
              </w:rPr>
              <w:t xml:space="preserve">Performing on-site reviews of the subrecipient's program </w:t>
            </w:r>
            <w:r w:rsidR="00143328" w:rsidRPr="0022435B">
              <w:rPr>
                <w:rFonts w:eastAsia="Times New Roman" w:cs="Calibri"/>
              </w:rPr>
              <w:t>operations.</w:t>
            </w:r>
            <w:r w:rsidRPr="0022435B">
              <w:rPr>
                <w:rFonts w:eastAsia="Times New Roman" w:cs="Calibri"/>
              </w:rPr>
              <w:t xml:space="preserve"> </w:t>
            </w:r>
          </w:p>
          <w:p w14:paraId="277EC2B1" w14:textId="02816821" w:rsidR="0022435B" w:rsidRPr="0022435B" w:rsidRDefault="0022435B" w:rsidP="00BC37A8">
            <w:pPr>
              <w:pStyle w:val="ListParagraph"/>
              <w:numPr>
                <w:ilvl w:val="0"/>
                <w:numId w:val="26"/>
              </w:numPr>
              <w:spacing w:after="120"/>
              <w:ind w:left="720" w:hanging="288"/>
              <w:rPr>
                <w:rFonts w:eastAsia="Times New Roman" w:cs="Calibri"/>
              </w:rPr>
            </w:pPr>
            <w:r w:rsidRPr="0022435B">
              <w:rPr>
                <w:rFonts w:eastAsia="Times New Roman" w:cs="Calibri"/>
              </w:rPr>
              <w:t xml:space="preserve">Arranging for agreed-upon-procedures engagements as described in § 200.425. </w:t>
            </w:r>
          </w:p>
          <w:p w14:paraId="44FFB50D" w14:textId="77777777" w:rsidR="0022435B" w:rsidRPr="0022435B" w:rsidRDefault="0022435B" w:rsidP="0022435B"/>
        </w:tc>
      </w:tr>
    </w:tbl>
    <w:p w14:paraId="6F6872CE" w14:textId="5F83453A" w:rsidR="00325E6B" w:rsidRDefault="00325E6B" w:rsidP="00325E6B">
      <w:pPr>
        <w:pStyle w:val="NormalWeb"/>
        <w:spacing w:before="0" w:beforeAutospacing="0" w:after="0" w:afterAutospacing="0"/>
        <w:rPr>
          <w:rFonts w:ascii="Calibri" w:hAnsi="Calibri" w:cs="Calibri"/>
          <w:sz w:val="22"/>
          <w:szCs w:val="22"/>
        </w:rPr>
      </w:pPr>
    </w:p>
    <w:p w14:paraId="0F5FCFC7" w14:textId="77777777" w:rsidR="00344966" w:rsidRDefault="00344966" w:rsidP="0039330F">
      <w:pPr>
        <w:pStyle w:val="NormalWeb"/>
        <w:spacing w:before="0" w:beforeAutospacing="0" w:after="0" w:afterAutospacing="0"/>
        <w:rPr>
          <w:b/>
          <w:bCs/>
        </w:rPr>
      </w:pPr>
    </w:p>
    <w:p w14:paraId="0AF3B1E3" w14:textId="77777777" w:rsidR="00344966" w:rsidRDefault="00344966" w:rsidP="0039330F">
      <w:pPr>
        <w:pStyle w:val="NormalWeb"/>
        <w:spacing w:before="0" w:beforeAutospacing="0" w:after="0" w:afterAutospacing="0"/>
        <w:rPr>
          <w:b/>
          <w:bCs/>
        </w:rPr>
      </w:pPr>
    </w:p>
    <w:p w14:paraId="7A0EDD79" w14:textId="77777777" w:rsidR="00344966" w:rsidRDefault="00344966" w:rsidP="0039330F">
      <w:pPr>
        <w:pStyle w:val="NormalWeb"/>
        <w:spacing w:before="0" w:beforeAutospacing="0" w:after="0" w:afterAutospacing="0"/>
        <w:rPr>
          <w:b/>
          <w:bCs/>
        </w:rPr>
      </w:pPr>
    </w:p>
    <w:p w14:paraId="4515034C" w14:textId="77777777" w:rsidR="00344966" w:rsidRDefault="00344966" w:rsidP="0039330F">
      <w:pPr>
        <w:pStyle w:val="NormalWeb"/>
        <w:spacing w:before="0" w:beforeAutospacing="0" w:after="0" w:afterAutospacing="0"/>
        <w:rPr>
          <w:b/>
          <w:bCs/>
        </w:rPr>
      </w:pPr>
    </w:p>
    <w:p w14:paraId="079149E5" w14:textId="77777777" w:rsidR="00344966" w:rsidRDefault="00344966" w:rsidP="0039330F">
      <w:pPr>
        <w:pStyle w:val="NormalWeb"/>
        <w:spacing w:before="0" w:beforeAutospacing="0" w:after="0" w:afterAutospacing="0"/>
        <w:rPr>
          <w:b/>
          <w:bCs/>
        </w:rPr>
      </w:pPr>
    </w:p>
    <w:p w14:paraId="22768387" w14:textId="77777777" w:rsidR="00344966" w:rsidRDefault="00344966" w:rsidP="0039330F">
      <w:pPr>
        <w:pStyle w:val="NormalWeb"/>
        <w:spacing w:before="0" w:beforeAutospacing="0" w:after="0" w:afterAutospacing="0"/>
        <w:rPr>
          <w:b/>
          <w:bCs/>
        </w:rPr>
      </w:pPr>
    </w:p>
    <w:p w14:paraId="24181206" w14:textId="77777777" w:rsidR="00344966" w:rsidRDefault="00344966" w:rsidP="0039330F">
      <w:pPr>
        <w:pStyle w:val="NormalWeb"/>
        <w:spacing w:before="0" w:beforeAutospacing="0" w:after="0" w:afterAutospacing="0"/>
        <w:rPr>
          <w:b/>
          <w:bCs/>
        </w:rPr>
      </w:pPr>
    </w:p>
    <w:p w14:paraId="02DC3D94" w14:textId="77777777" w:rsidR="00344966" w:rsidRDefault="00344966" w:rsidP="0039330F">
      <w:pPr>
        <w:pStyle w:val="NormalWeb"/>
        <w:spacing w:before="0" w:beforeAutospacing="0" w:after="0" w:afterAutospacing="0"/>
        <w:rPr>
          <w:b/>
          <w:bCs/>
        </w:rPr>
      </w:pPr>
    </w:p>
    <w:p w14:paraId="013925E3" w14:textId="77777777" w:rsidR="00344966" w:rsidRDefault="00344966" w:rsidP="0039330F">
      <w:pPr>
        <w:pStyle w:val="NormalWeb"/>
        <w:spacing w:before="0" w:beforeAutospacing="0" w:after="0" w:afterAutospacing="0"/>
        <w:rPr>
          <w:b/>
          <w:bCs/>
        </w:rPr>
      </w:pPr>
    </w:p>
    <w:p w14:paraId="2DC43D3B" w14:textId="77777777" w:rsidR="00344966" w:rsidRDefault="00344966" w:rsidP="0039330F">
      <w:pPr>
        <w:pStyle w:val="NormalWeb"/>
        <w:spacing w:before="0" w:beforeAutospacing="0" w:after="0" w:afterAutospacing="0"/>
        <w:rPr>
          <w:b/>
          <w:bCs/>
        </w:rPr>
      </w:pPr>
    </w:p>
    <w:p w14:paraId="7B9C8535" w14:textId="77777777" w:rsidR="00344966" w:rsidRDefault="00344966" w:rsidP="0039330F">
      <w:pPr>
        <w:pStyle w:val="NormalWeb"/>
        <w:spacing w:before="0" w:beforeAutospacing="0" w:after="0" w:afterAutospacing="0"/>
        <w:rPr>
          <w:b/>
          <w:bCs/>
        </w:rPr>
      </w:pPr>
    </w:p>
    <w:p w14:paraId="5D9A43C3" w14:textId="77777777" w:rsidR="00221A3D" w:rsidRPr="0039330F" w:rsidRDefault="00221A3D" w:rsidP="005C22E4">
      <w:pPr>
        <w:pStyle w:val="NormalWeb"/>
        <w:spacing w:before="0" w:beforeAutospacing="0" w:after="0" w:afterAutospacing="0"/>
        <w:rPr>
          <w:rFonts w:ascii="Calibri" w:hAnsi="Calibri" w:cs="Calibri"/>
          <w:sz w:val="22"/>
          <w:szCs w:val="22"/>
        </w:rPr>
      </w:pPr>
    </w:p>
    <w:sectPr w:rsidR="00221A3D" w:rsidRPr="003933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A100" w14:textId="77777777" w:rsidR="006C50DC" w:rsidRDefault="006C50DC" w:rsidP="00325E6B">
      <w:pPr>
        <w:spacing w:after="0" w:line="240" w:lineRule="auto"/>
      </w:pPr>
      <w:r>
        <w:separator/>
      </w:r>
    </w:p>
  </w:endnote>
  <w:endnote w:type="continuationSeparator" w:id="0">
    <w:p w14:paraId="37919FD5" w14:textId="77777777" w:rsidR="006C50DC" w:rsidRDefault="006C50DC" w:rsidP="00325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39C14" w14:textId="77777777" w:rsidR="006C50DC" w:rsidRDefault="006C50DC" w:rsidP="00325E6B">
      <w:pPr>
        <w:spacing w:after="0" w:line="240" w:lineRule="auto"/>
      </w:pPr>
      <w:r>
        <w:separator/>
      </w:r>
    </w:p>
  </w:footnote>
  <w:footnote w:type="continuationSeparator" w:id="0">
    <w:p w14:paraId="0FA3E1CF" w14:textId="77777777" w:rsidR="006C50DC" w:rsidRDefault="006C50DC" w:rsidP="00325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C3F"/>
    <w:multiLevelType w:val="hybridMultilevel"/>
    <w:tmpl w:val="47F27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371838"/>
    <w:multiLevelType w:val="hybridMultilevel"/>
    <w:tmpl w:val="C6787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0A2579"/>
    <w:multiLevelType w:val="hybridMultilevel"/>
    <w:tmpl w:val="8174C4FC"/>
    <w:lvl w:ilvl="0" w:tplc="FFFFFFFF">
      <w:start w:val="1"/>
      <w:numFmt w:val="decimal"/>
      <w:lvlText w:val="%1)"/>
      <w:lvlJc w:val="left"/>
      <w:pPr>
        <w:ind w:left="792" w:hanging="360"/>
      </w:pPr>
    </w:lvl>
    <w:lvl w:ilvl="1" w:tplc="FFFFFFFF">
      <w:start w:val="1"/>
      <w:numFmt w:val="decimal"/>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3" w15:restartNumberingAfterBreak="0">
    <w:nsid w:val="277749D7"/>
    <w:multiLevelType w:val="hybridMultilevel"/>
    <w:tmpl w:val="965AA4D0"/>
    <w:lvl w:ilvl="0" w:tplc="68DE651E">
      <w:start w:val="3"/>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2863124D"/>
    <w:multiLevelType w:val="hybridMultilevel"/>
    <w:tmpl w:val="97F2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4347D"/>
    <w:multiLevelType w:val="hybridMultilevel"/>
    <w:tmpl w:val="6C3E042E"/>
    <w:lvl w:ilvl="0" w:tplc="FFFFFFFF">
      <w:start w:val="1"/>
      <w:numFmt w:val="decimal"/>
      <w:lvlText w:val="%1)"/>
      <w:lvlJc w:val="left"/>
      <w:pPr>
        <w:ind w:left="720" w:hanging="360"/>
      </w:p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8474B7"/>
    <w:multiLevelType w:val="hybridMultilevel"/>
    <w:tmpl w:val="B29A3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5926BF"/>
    <w:multiLevelType w:val="hybridMultilevel"/>
    <w:tmpl w:val="4C98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402C81"/>
    <w:multiLevelType w:val="hybridMultilevel"/>
    <w:tmpl w:val="DB3C1556"/>
    <w:lvl w:ilvl="0" w:tplc="68DE651E">
      <w:start w:val="3"/>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3755014"/>
    <w:multiLevelType w:val="hybridMultilevel"/>
    <w:tmpl w:val="6AF80756"/>
    <w:lvl w:ilvl="0" w:tplc="04090011">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AB3E6B"/>
    <w:multiLevelType w:val="hybridMultilevel"/>
    <w:tmpl w:val="97262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2C63CF"/>
    <w:multiLevelType w:val="hybridMultilevel"/>
    <w:tmpl w:val="7138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A7585"/>
    <w:multiLevelType w:val="hybridMultilevel"/>
    <w:tmpl w:val="7B807364"/>
    <w:lvl w:ilvl="0" w:tplc="CD108EC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24C14"/>
    <w:multiLevelType w:val="hybridMultilevel"/>
    <w:tmpl w:val="D63A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E3C18"/>
    <w:multiLevelType w:val="hybridMultilevel"/>
    <w:tmpl w:val="47587A38"/>
    <w:lvl w:ilvl="0" w:tplc="6546A68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92BA1"/>
    <w:multiLevelType w:val="hybridMultilevel"/>
    <w:tmpl w:val="49CC8322"/>
    <w:lvl w:ilvl="0" w:tplc="CD108EC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EC6789"/>
    <w:multiLevelType w:val="hybridMultilevel"/>
    <w:tmpl w:val="6D5A8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CA7FFD"/>
    <w:multiLevelType w:val="hybridMultilevel"/>
    <w:tmpl w:val="8174C4FC"/>
    <w:lvl w:ilvl="0" w:tplc="FFFFFFFF">
      <w:start w:val="1"/>
      <w:numFmt w:val="decimal"/>
      <w:lvlText w:val="%1)"/>
      <w:lvlJc w:val="left"/>
      <w:pPr>
        <w:ind w:left="792" w:hanging="360"/>
      </w:pPr>
    </w:lvl>
    <w:lvl w:ilvl="1" w:tplc="FFFFFFFF">
      <w:start w:val="1"/>
      <w:numFmt w:val="decimal"/>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8" w15:restartNumberingAfterBreak="0">
    <w:nsid w:val="5CB606E9"/>
    <w:multiLevelType w:val="hybridMultilevel"/>
    <w:tmpl w:val="9F6C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561A6"/>
    <w:multiLevelType w:val="hybridMultilevel"/>
    <w:tmpl w:val="8174C4FC"/>
    <w:lvl w:ilvl="0" w:tplc="FFFFFFFF">
      <w:start w:val="1"/>
      <w:numFmt w:val="decimal"/>
      <w:lvlText w:val="%1)"/>
      <w:lvlJc w:val="left"/>
      <w:pPr>
        <w:ind w:left="360" w:hanging="360"/>
      </w:pPr>
    </w:lvl>
    <w:lvl w:ilvl="1" w:tplc="0409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C0F4205"/>
    <w:multiLevelType w:val="hybridMultilevel"/>
    <w:tmpl w:val="1D7460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725A73"/>
    <w:multiLevelType w:val="hybridMultilevel"/>
    <w:tmpl w:val="72D6145C"/>
    <w:lvl w:ilvl="0" w:tplc="5602E8CC">
      <w:start w:val="1"/>
      <w:numFmt w:val="bullet"/>
      <w:lvlText w:val=""/>
      <w:lvlJc w:val="left"/>
      <w:pPr>
        <w:ind w:left="720" w:hanging="360"/>
      </w:pPr>
      <w:rPr>
        <w:rFonts w:ascii="Symbol" w:hAnsi="Symbol"/>
      </w:rPr>
    </w:lvl>
    <w:lvl w:ilvl="1" w:tplc="70C6E838">
      <w:start w:val="1"/>
      <w:numFmt w:val="bullet"/>
      <w:lvlText w:val=""/>
      <w:lvlJc w:val="left"/>
      <w:pPr>
        <w:ind w:left="720" w:hanging="360"/>
      </w:pPr>
      <w:rPr>
        <w:rFonts w:ascii="Symbol" w:hAnsi="Symbol"/>
      </w:rPr>
    </w:lvl>
    <w:lvl w:ilvl="2" w:tplc="4BB6E684">
      <w:start w:val="1"/>
      <w:numFmt w:val="bullet"/>
      <w:lvlText w:val=""/>
      <w:lvlJc w:val="left"/>
      <w:pPr>
        <w:ind w:left="720" w:hanging="360"/>
      </w:pPr>
      <w:rPr>
        <w:rFonts w:ascii="Symbol" w:hAnsi="Symbol"/>
      </w:rPr>
    </w:lvl>
    <w:lvl w:ilvl="3" w:tplc="0EBED4FE">
      <w:start w:val="1"/>
      <w:numFmt w:val="bullet"/>
      <w:lvlText w:val=""/>
      <w:lvlJc w:val="left"/>
      <w:pPr>
        <w:ind w:left="720" w:hanging="360"/>
      </w:pPr>
      <w:rPr>
        <w:rFonts w:ascii="Symbol" w:hAnsi="Symbol"/>
      </w:rPr>
    </w:lvl>
    <w:lvl w:ilvl="4" w:tplc="B8367D98">
      <w:start w:val="1"/>
      <w:numFmt w:val="bullet"/>
      <w:lvlText w:val=""/>
      <w:lvlJc w:val="left"/>
      <w:pPr>
        <w:ind w:left="720" w:hanging="360"/>
      </w:pPr>
      <w:rPr>
        <w:rFonts w:ascii="Symbol" w:hAnsi="Symbol"/>
      </w:rPr>
    </w:lvl>
    <w:lvl w:ilvl="5" w:tplc="B27CCDAE">
      <w:start w:val="1"/>
      <w:numFmt w:val="bullet"/>
      <w:lvlText w:val=""/>
      <w:lvlJc w:val="left"/>
      <w:pPr>
        <w:ind w:left="720" w:hanging="360"/>
      </w:pPr>
      <w:rPr>
        <w:rFonts w:ascii="Symbol" w:hAnsi="Symbol"/>
      </w:rPr>
    </w:lvl>
    <w:lvl w:ilvl="6" w:tplc="49F0DF02">
      <w:start w:val="1"/>
      <w:numFmt w:val="bullet"/>
      <w:lvlText w:val=""/>
      <w:lvlJc w:val="left"/>
      <w:pPr>
        <w:ind w:left="720" w:hanging="360"/>
      </w:pPr>
      <w:rPr>
        <w:rFonts w:ascii="Symbol" w:hAnsi="Symbol"/>
      </w:rPr>
    </w:lvl>
    <w:lvl w:ilvl="7" w:tplc="CEF2A5FE">
      <w:start w:val="1"/>
      <w:numFmt w:val="bullet"/>
      <w:lvlText w:val=""/>
      <w:lvlJc w:val="left"/>
      <w:pPr>
        <w:ind w:left="720" w:hanging="360"/>
      </w:pPr>
      <w:rPr>
        <w:rFonts w:ascii="Symbol" w:hAnsi="Symbol"/>
      </w:rPr>
    </w:lvl>
    <w:lvl w:ilvl="8" w:tplc="A7A60ECA">
      <w:start w:val="1"/>
      <w:numFmt w:val="bullet"/>
      <w:lvlText w:val=""/>
      <w:lvlJc w:val="left"/>
      <w:pPr>
        <w:ind w:left="720" w:hanging="360"/>
      </w:pPr>
      <w:rPr>
        <w:rFonts w:ascii="Symbol" w:hAnsi="Symbol"/>
      </w:rPr>
    </w:lvl>
  </w:abstractNum>
  <w:abstractNum w:abstractNumId="22" w15:restartNumberingAfterBreak="0">
    <w:nsid w:val="78E82517"/>
    <w:multiLevelType w:val="hybridMultilevel"/>
    <w:tmpl w:val="8174C4FC"/>
    <w:lvl w:ilvl="0" w:tplc="FFFFFFFF">
      <w:start w:val="1"/>
      <w:numFmt w:val="decimal"/>
      <w:lvlText w:val="%1)"/>
      <w:lvlJc w:val="left"/>
      <w:pPr>
        <w:ind w:left="792" w:hanging="360"/>
      </w:pPr>
    </w:lvl>
    <w:lvl w:ilvl="1" w:tplc="FFFFFFFF">
      <w:start w:val="1"/>
      <w:numFmt w:val="decimal"/>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23" w15:restartNumberingAfterBreak="0">
    <w:nsid w:val="7A206A4E"/>
    <w:multiLevelType w:val="hybridMultilevel"/>
    <w:tmpl w:val="E6447C90"/>
    <w:lvl w:ilvl="0" w:tplc="04090011">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7EE725A5"/>
    <w:multiLevelType w:val="hybridMultilevel"/>
    <w:tmpl w:val="40CE748E"/>
    <w:lvl w:ilvl="0" w:tplc="0409000F">
      <w:start w:val="1"/>
      <w:numFmt w:val="decimal"/>
      <w:lvlText w:val="%1."/>
      <w:lvlJc w:val="left"/>
      <w:pPr>
        <w:ind w:left="720" w:hanging="360"/>
      </w:pPr>
    </w:lvl>
    <w:lvl w:ilvl="1" w:tplc="E870C6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8485011">
    <w:abstractNumId w:val="13"/>
  </w:num>
  <w:num w:numId="2" w16cid:durableId="1293513120">
    <w:abstractNumId w:val="4"/>
  </w:num>
  <w:num w:numId="3" w16cid:durableId="1939097382">
    <w:abstractNumId w:val="18"/>
  </w:num>
  <w:num w:numId="4" w16cid:durableId="2066830829">
    <w:abstractNumId w:val="11"/>
  </w:num>
  <w:num w:numId="5" w16cid:durableId="1915701616">
    <w:abstractNumId w:val="14"/>
  </w:num>
  <w:num w:numId="6" w16cid:durableId="1306207031">
    <w:abstractNumId w:val="15"/>
  </w:num>
  <w:num w:numId="7" w16cid:durableId="513542653">
    <w:abstractNumId w:val="12"/>
  </w:num>
  <w:num w:numId="8" w16cid:durableId="1794446061">
    <w:abstractNumId w:val="6"/>
  </w:num>
  <w:num w:numId="9" w16cid:durableId="493569836">
    <w:abstractNumId w:val="1"/>
  </w:num>
  <w:num w:numId="10" w16cid:durableId="1224294749">
    <w:abstractNumId w:val="16"/>
  </w:num>
  <w:num w:numId="11" w16cid:durableId="1898007380">
    <w:abstractNumId w:val="0"/>
  </w:num>
  <w:num w:numId="12" w16cid:durableId="1583680069">
    <w:abstractNumId w:val="7"/>
  </w:num>
  <w:num w:numId="13" w16cid:durableId="675812150">
    <w:abstractNumId w:val="10"/>
  </w:num>
  <w:num w:numId="14" w16cid:durableId="1933123211">
    <w:abstractNumId w:val="0"/>
  </w:num>
  <w:num w:numId="15" w16cid:durableId="837185692">
    <w:abstractNumId w:val="10"/>
  </w:num>
  <w:num w:numId="16" w16cid:durableId="44303194">
    <w:abstractNumId w:val="3"/>
  </w:num>
  <w:num w:numId="17" w16cid:durableId="1318726264">
    <w:abstractNumId w:val="24"/>
  </w:num>
  <w:num w:numId="18" w16cid:durableId="1391491499">
    <w:abstractNumId w:val="8"/>
  </w:num>
  <w:num w:numId="19" w16cid:durableId="1682664240">
    <w:abstractNumId w:val="21"/>
  </w:num>
  <w:num w:numId="20" w16cid:durableId="304432368">
    <w:abstractNumId w:val="23"/>
  </w:num>
  <w:num w:numId="21" w16cid:durableId="1912348044">
    <w:abstractNumId w:val="19"/>
  </w:num>
  <w:num w:numId="22" w16cid:durableId="1811556673">
    <w:abstractNumId w:val="20"/>
  </w:num>
  <w:num w:numId="23" w16cid:durableId="1381133500">
    <w:abstractNumId w:val="5"/>
  </w:num>
  <w:num w:numId="24" w16cid:durableId="191773476">
    <w:abstractNumId w:val="22"/>
  </w:num>
  <w:num w:numId="25" w16cid:durableId="1585072749">
    <w:abstractNumId w:val="17"/>
  </w:num>
  <w:num w:numId="26" w16cid:durableId="1463235119">
    <w:abstractNumId w:val="2"/>
  </w:num>
  <w:num w:numId="27" w16cid:durableId="1707487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0F"/>
    <w:rsid w:val="00012C03"/>
    <w:rsid w:val="00047787"/>
    <w:rsid w:val="000503C4"/>
    <w:rsid w:val="00062319"/>
    <w:rsid w:val="00073D48"/>
    <w:rsid w:val="000865CC"/>
    <w:rsid w:val="000D5FAF"/>
    <w:rsid w:val="000F2935"/>
    <w:rsid w:val="00114713"/>
    <w:rsid w:val="001205B2"/>
    <w:rsid w:val="00120B69"/>
    <w:rsid w:val="00143328"/>
    <w:rsid w:val="00145FD3"/>
    <w:rsid w:val="001769BD"/>
    <w:rsid w:val="001A2628"/>
    <w:rsid w:val="001B1BCC"/>
    <w:rsid w:val="001C4D30"/>
    <w:rsid w:val="001D19A3"/>
    <w:rsid w:val="001F3E58"/>
    <w:rsid w:val="00213E71"/>
    <w:rsid w:val="0021578F"/>
    <w:rsid w:val="0021689B"/>
    <w:rsid w:val="002200FD"/>
    <w:rsid w:val="00220C9D"/>
    <w:rsid w:val="00221A3D"/>
    <w:rsid w:val="00221FCC"/>
    <w:rsid w:val="0022435B"/>
    <w:rsid w:val="00247D5D"/>
    <w:rsid w:val="00257D38"/>
    <w:rsid w:val="00277EE9"/>
    <w:rsid w:val="0029340D"/>
    <w:rsid w:val="002A02EE"/>
    <w:rsid w:val="002D7BC9"/>
    <w:rsid w:val="0030644B"/>
    <w:rsid w:val="00314FA1"/>
    <w:rsid w:val="00324826"/>
    <w:rsid w:val="00325E6B"/>
    <w:rsid w:val="00342B3F"/>
    <w:rsid w:val="00344966"/>
    <w:rsid w:val="003558A2"/>
    <w:rsid w:val="00375A7A"/>
    <w:rsid w:val="0039330F"/>
    <w:rsid w:val="003A1500"/>
    <w:rsid w:val="003B06F4"/>
    <w:rsid w:val="003B77DD"/>
    <w:rsid w:val="003C7F4E"/>
    <w:rsid w:val="003D7DED"/>
    <w:rsid w:val="004120FB"/>
    <w:rsid w:val="0041728E"/>
    <w:rsid w:val="004307E4"/>
    <w:rsid w:val="00440007"/>
    <w:rsid w:val="0045466F"/>
    <w:rsid w:val="00466930"/>
    <w:rsid w:val="00481B28"/>
    <w:rsid w:val="0050148D"/>
    <w:rsid w:val="00530A75"/>
    <w:rsid w:val="00563FDB"/>
    <w:rsid w:val="00571C16"/>
    <w:rsid w:val="005B2E98"/>
    <w:rsid w:val="005C22E4"/>
    <w:rsid w:val="005C4B78"/>
    <w:rsid w:val="005D2BF7"/>
    <w:rsid w:val="005D5E6B"/>
    <w:rsid w:val="005E0BDA"/>
    <w:rsid w:val="005E72E6"/>
    <w:rsid w:val="00600784"/>
    <w:rsid w:val="00603678"/>
    <w:rsid w:val="00606860"/>
    <w:rsid w:val="0061550B"/>
    <w:rsid w:val="00625ACD"/>
    <w:rsid w:val="0063067B"/>
    <w:rsid w:val="006350B1"/>
    <w:rsid w:val="00640E4B"/>
    <w:rsid w:val="00646AA5"/>
    <w:rsid w:val="00656942"/>
    <w:rsid w:val="006674B4"/>
    <w:rsid w:val="006C50DC"/>
    <w:rsid w:val="006C6F0E"/>
    <w:rsid w:val="006C7E7E"/>
    <w:rsid w:val="006D274A"/>
    <w:rsid w:val="006F1649"/>
    <w:rsid w:val="00703AFE"/>
    <w:rsid w:val="00732C6A"/>
    <w:rsid w:val="00754049"/>
    <w:rsid w:val="007A7C30"/>
    <w:rsid w:val="007B28E3"/>
    <w:rsid w:val="007C3E80"/>
    <w:rsid w:val="007C6F30"/>
    <w:rsid w:val="007E0348"/>
    <w:rsid w:val="00845A5B"/>
    <w:rsid w:val="00863EC0"/>
    <w:rsid w:val="00873EDF"/>
    <w:rsid w:val="008B23C9"/>
    <w:rsid w:val="008B6067"/>
    <w:rsid w:val="008C5961"/>
    <w:rsid w:val="008D0F9B"/>
    <w:rsid w:val="009152FA"/>
    <w:rsid w:val="00926F10"/>
    <w:rsid w:val="0096701E"/>
    <w:rsid w:val="00990124"/>
    <w:rsid w:val="009A2FE1"/>
    <w:rsid w:val="009C2AD8"/>
    <w:rsid w:val="009E3566"/>
    <w:rsid w:val="00A3265F"/>
    <w:rsid w:val="00AA4C21"/>
    <w:rsid w:val="00AA76EF"/>
    <w:rsid w:val="00AF4AD1"/>
    <w:rsid w:val="00AF6172"/>
    <w:rsid w:val="00B00F45"/>
    <w:rsid w:val="00B01E8A"/>
    <w:rsid w:val="00B31E28"/>
    <w:rsid w:val="00B70336"/>
    <w:rsid w:val="00BA2150"/>
    <w:rsid w:val="00BA532C"/>
    <w:rsid w:val="00BB0EC5"/>
    <w:rsid w:val="00BB5322"/>
    <w:rsid w:val="00BC37A8"/>
    <w:rsid w:val="00BE3931"/>
    <w:rsid w:val="00C67AE1"/>
    <w:rsid w:val="00C83996"/>
    <w:rsid w:val="00C91A4D"/>
    <w:rsid w:val="00CA69AB"/>
    <w:rsid w:val="00CC671A"/>
    <w:rsid w:val="00D27CAF"/>
    <w:rsid w:val="00D33C8A"/>
    <w:rsid w:val="00D40A9F"/>
    <w:rsid w:val="00D65F52"/>
    <w:rsid w:val="00D90DB6"/>
    <w:rsid w:val="00DA1B5A"/>
    <w:rsid w:val="00DC57AD"/>
    <w:rsid w:val="00DE2ADB"/>
    <w:rsid w:val="00DE7D80"/>
    <w:rsid w:val="00E100E8"/>
    <w:rsid w:val="00E10623"/>
    <w:rsid w:val="00E225C6"/>
    <w:rsid w:val="00E30CF3"/>
    <w:rsid w:val="00E60600"/>
    <w:rsid w:val="00E609B1"/>
    <w:rsid w:val="00E64B4E"/>
    <w:rsid w:val="00E82DBE"/>
    <w:rsid w:val="00E832F3"/>
    <w:rsid w:val="00EA3101"/>
    <w:rsid w:val="00EB0910"/>
    <w:rsid w:val="00ED3E54"/>
    <w:rsid w:val="00F300E7"/>
    <w:rsid w:val="00F30306"/>
    <w:rsid w:val="00F620D9"/>
    <w:rsid w:val="00F7567E"/>
    <w:rsid w:val="00F912BD"/>
    <w:rsid w:val="00FC4DEA"/>
    <w:rsid w:val="00FE0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17111"/>
  <w15:chartTrackingRefBased/>
  <w15:docId w15:val="{ACB3D103-85E5-4008-B3B6-59B6324E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3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30F"/>
    <w:pPr>
      <w:ind w:left="720"/>
      <w:contextualSpacing/>
    </w:pPr>
  </w:style>
  <w:style w:type="paragraph" w:styleId="NormalWeb">
    <w:name w:val="Normal (Web)"/>
    <w:basedOn w:val="Normal"/>
    <w:uiPriority w:val="99"/>
    <w:unhideWhenUsed/>
    <w:rsid w:val="003933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9330F"/>
    <w:rPr>
      <w:color w:val="0000FF"/>
      <w:u w:val="single"/>
    </w:rPr>
  </w:style>
  <w:style w:type="table" w:styleId="TableGrid">
    <w:name w:val="Table Grid"/>
    <w:basedOn w:val="TableNormal"/>
    <w:uiPriority w:val="39"/>
    <w:rsid w:val="00393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325E6B"/>
    <w:rPr>
      <w:i/>
      <w:iCs/>
    </w:rPr>
  </w:style>
  <w:style w:type="character" w:styleId="UnresolvedMention">
    <w:name w:val="Unresolved Mention"/>
    <w:basedOn w:val="DefaultParagraphFont"/>
    <w:uiPriority w:val="99"/>
    <w:semiHidden/>
    <w:unhideWhenUsed/>
    <w:rsid w:val="00325E6B"/>
    <w:rPr>
      <w:color w:val="605E5C"/>
      <w:shd w:val="clear" w:color="auto" w:fill="E1DFDD"/>
    </w:rPr>
  </w:style>
  <w:style w:type="character" w:styleId="FollowedHyperlink">
    <w:name w:val="FollowedHyperlink"/>
    <w:basedOn w:val="DefaultParagraphFont"/>
    <w:uiPriority w:val="99"/>
    <w:semiHidden/>
    <w:unhideWhenUsed/>
    <w:rsid w:val="00325E6B"/>
    <w:rPr>
      <w:color w:val="954F72" w:themeColor="followedHyperlink"/>
      <w:u w:val="single"/>
    </w:rPr>
  </w:style>
  <w:style w:type="character" w:styleId="CommentReference">
    <w:name w:val="annotation reference"/>
    <w:basedOn w:val="DefaultParagraphFont"/>
    <w:uiPriority w:val="99"/>
    <w:semiHidden/>
    <w:unhideWhenUsed/>
    <w:rsid w:val="00732C6A"/>
    <w:rPr>
      <w:sz w:val="16"/>
      <w:szCs w:val="16"/>
    </w:rPr>
  </w:style>
  <w:style w:type="paragraph" w:styleId="CommentText">
    <w:name w:val="annotation text"/>
    <w:basedOn w:val="Normal"/>
    <w:link w:val="CommentTextChar"/>
    <w:uiPriority w:val="99"/>
    <w:unhideWhenUsed/>
    <w:rsid w:val="00732C6A"/>
    <w:pPr>
      <w:spacing w:line="240" w:lineRule="auto"/>
    </w:pPr>
    <w:rPr>
      <w:sz w:val="20"/>
      <w:szCs w:val="20"/>
    </w:rPr>
  </w:style>
  <w:style w:type="character" w:customStyle="1" w:styleId="CommentTextChar">
    <w:name w:val="Comment Text Char"/>
    <w:basedOn w:val="DefaultParagraphFont"/>
    <w:link w:val="CommentText"/>
    <w:uiPriority w:val="99"/>
    <w:rsid w:val="00732C6A"/>
    <w:rPr>
      <w:sz w:val="20"/>
      <w:szCs w:val="20"/>
    </w:rPr>
  </w:style>
  <w:style w:type="paragraph" w:styleId="CommentSubject">
    <w:name w:val="annotation subject"/>
    <w:basedOn w:val="CommentText"/>
    <w:next w:val="CommentText"/>
    <w:link w:val="CommentSubjectChar"/>
    <w:uiPriority w:val="99"/>
    <w:semiHidden/>
    <w:unhideWhenUsed/>
    <w:rsid w:val="00732C6A"/>
    <w:rPr>
      <w:b/>
      <w:bCs/>
    </w:rPr>
  </w:style>
  <w:style w:type="character" w:customStyle="1" w:styleId="CommentSubjectChar">
    <w:name w:val="Comment Subject Char"/>
    <w:basedOn w:val="CommentTextChar"/>
    <w:link w:val="CommentSubject"/>
    <w:uiPriority w:val="99"/>
    <w:semiHidden/>
    <w:rsid w:val="00732C6A"/>
    <w:rPr>
      <w:b/>
      <w:bCs/>
      <w:sz w:val="20"/>
      <w:szCs w:val="20"/>
    </w:rPr>
  </w:style>
  <w:style w:type="paragraph" w:styleId="Revision">
    <w:name w:val="Revision"/>
    <w:hidden/>
    <w:uiPriority w:val="99"/>
    <w:semiHidden/>
    <w:rsid w:val="00530A75"/>
    <w:pPr>
      <w:spacing w:after="0" w:line="240" w:lineRule="auto"/>
    </w:pPr>
  </w:style>
  <w:style w:type="table" w:customStyle="1" w:styleId="TableGrid1">
    <w:name w:val="Table Grid1"/>
    <w:basedOn w:val="TableNormal"/>
    <w:next w:val="TableGrid"/>
    <w:uiPriority w:val="39"/>
    <w:rsid w:val="002243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8117">
      <w:bodyDiv w:val="1"/>
      <w:marLeft w:val="0"/>
      <w:marRight w:val="0"/>
      <w:marTop w:val="0"/>
      <w:marBottom w:val="0"/>
      <w:divBdr>
        <w:top w:val="none" w:sz="0" w:space="0" w:color="auto"/>
        <w:left w:val="none" w:sz="0" w:space="0" w:color="auto"/>
        <w:bottom w:val="none" w:sz="0" w:space="0" w:color="auto"/>
        <w:right w:val="none" w:sz="0" w:space="0" w:color="auto"/>
      </w:divBdr>
    </w:div>
    <w:div w:id="100611671">
      <w:bodyDiv w:val="1"/>
      <w:marLeft w:val="0"/>
      <w:marRight w:val="0"/>
      <w:marTop w:val="0"/>
      <w:marBottom w:val="0"/>
      <w:divBdr>
        <w:top w:val="none" w:sz="0" w:space="0" w:color="auto"/>
        <w:left w:val="none" w:sz="0" w:space="0" w:color="auto"/>
        <w:bottom w:val="none" w:sz="0" w:space="0" w:color="auto"/>
        <w:right w:val="none" w:sz="0" w:space="0" w:color="auto"/>
      </w:divBdr>
    </w:div>
    <w:div w:id="370032708">
      <w:bodyDiv w:val="1"/>
      <w:marLeft w:val="0"/>
      <w:marRight w:val="0"/>
      <w:marTop w:val="0"/>
      <w:marBottom w:val="0"/>
      <w:divBdr>
        <w:top w:val="none" w:sz="0" w:space="0" w:color="auto"/>
        <w:left w:val="none" w:sz="0" w:space="0" w:color="auto"/>
        <w:bottom w:val="none" w:sz="0" w:space="0" w:color="auto"/>
        <w:right w:val="none" w:sz="0" w:space="0" w:color="auto"/>
      </w:divBdr>
    </w:div>
    <w:div w:id="652757879">
      <w:bodyDiv w:val="1"/>
      <w:marLeft w:val="0"/>
      <w:marRight w:val="0"/>
      <w:marTop w:val="0"/>
      <w:marBottom w:val="0"/>
      <w:divBdr>
        <w:top w:val="none" w:sz="0" w:space="0" w:color="auto"/>
        <w:left w:val="none" w:sz="0" w:space="0" w:color="auto"/>
        <w:bottom w:val="none" w:sz="0" w:space="0" w:color="auto"/>
        <w:right w:val="none" w:sz="0" w:space="0" w:color="auto"/>
      </w:divBdr>
    </w:div>
    <w:div w:id="932978662">
      <w:bodyDiv w:val="1"/>
      <w:marLeft w:val="0"/>
      <w:marRight w:val="0"/>
      <w:marTop w:val="0"/>
      <w:marBottom w:val="0"/>
      <w:divBdr>
        <w:top w:val="none" w:sz="0" w:space="0" w:color="auto"/>
        <w:left w:val="none" w:sz="0" w:space="0" w:color="auto"/>
        <w:bottom w:val="none" w:sz="0" w:space="0" w:color="auto"/>
        <w:right w:val="none" w:sz="0" w:space="0" w:color="auto"/>
      </w:divBdr>
    </w:div>
    <w:div w:id="940913392">
      <w:bodyDiv w:val="1"/>
      <w:marLeft w:val="0"/>
      <w:marRight w:val="0"/>
      <w:marTop w:val="0"/>
      <w:marBottom w:val="0"/>
      <w:divBdr>
        <w:top w:val="none" w:sz="0" w:space="0" w:color="auto"/>
        <w:left w:val="none" w:sz="0" w:space="0" w:color="auto"/>
        <w:bottom w:val="none" w:sz="0" w:space="0" w:color="auto"/>
        <w:right w:val="none" w:sz="0" w:space="0" w:color="auto"/>
      </w:divBdr>
    </w:div>
    <w:div w:id="1042628621">
      <w:bodyDiv w:val="1"/>
      <w:marLeft w:val="0"/>
      <w:marRight w:val="0"/>
      <w:marTop w:val="0"/>
      <w:marBottom w:val="0"/>
      <w:divBdr>
        <w:top w:val="none" w:sz="0" w:space="0" w:color="auto"/>
        <w:left w:val="none" w:sz="0" w:space="0" w:color="auto"/>
        <w:bottom w:val="none" w:sz="0" w:space="0" w:color="auto"/>
        <w:right w:val="none" w:sz="0" w:space="0" w:color="auto"/>
      </w:divBdr>
    </w:div>
    <w:div w:id="1066227076">
      <w:bodyDiv w:val="1"/>
      <w:marLeft w:val="0"/>
      <w:marRight w:val="0"/>
      <w:marTop w:val="0"/>
      <w:marBottom w:val="0"/>
      <w:divBdr>
        <w:top w:val="none" w:sz="0" w:space="0" w:color="auto"/>
        <w:left w:val="none" w:sz="0" w:space="0" w:color="auto"/>
        <w:bottom w:val="none" w:sz="0" w:space="0" w:color="auto"/>
        <w:right w:val="none" w:sz="0" w:space="0" w:color="auto"/>
      </w:divBdr>
    </w:div>
    <w:div w:id="1073507055">
      <w:bodyDiv w:val="1"/>
      <w:marLeft w:val="0"/>
      <w:marRight w:val="0"/>
      <w:marTop w:val="0"/>
      <w:marBottom w:val="0"/>
      <w:divBdr>
        <w:top w:val="none" w:sz="0" w:space="0" w:color="auto"/>
        <w:left w:val="none" w:sz="0" w:space="0" w:color="auto"/>
        <w:bottom w:val="none" w:sz="0" w:space="0" w:color="auto"/>
        <w:right w:val="none" w:sz="0" w:space="0" w:color="auto"/>
      </w:divBdr>
    </w:div>
    <w:div w:id="1490900523">
      <w:bodyDiv w:val="1"/>
      <w:marLeft w:val="0"/>
      <w:marRight w:val="0"/>
      <w:marTop w:val="0"/>
      <w:marBottom w:val="0"/>
      <w:divBdr>
        <w:top w:val="none" w:sz="0" w:space="0" w:color="auto"/>
        <w:left w:val="none" w:sz="0" w:space="0" w:color="auto"/>
        <w:bottom w:val="none" w:sz="0" w:space="0" w:color="auto"/>
        <w:right w:val="none" w:sz="0" w:space="0" w:color="auto"/>
      </w:divBdr>
    </w:div>
    <w:div w:id="1630546842">
      <w:bodyDiv w:val="1"/>
      <w:marLeft w:val="0"/>
      <w:marRight w:val="0"/>
      <w:marTop w:val="0"/>
      <w:marBottom w:val="0"/>
      <w:divBdr>
        <w:top w:val="none" w:sz="0" w:space="0" w:color="auto"/>
        <w:left w:val="none" w:sz="0" w:space="0" w:color="auto"/>
        <w:bottom w:val="none" w:sz="0" w:space="0" w:color="auto"/>
        <w:right w:val="none" w:sz="0" w:space="0" w:color="auto"/>
      </w:divBdr>
    </w:div>
    <w:div w:id="1795099355">
      <w:bodyDiv w:val="1"/>
      <w:marLeft w:val="0"/>
      <w:marRight w:val="0"/>
      <w:marTop w:val="0"/>
      <w:marBottom w:val="0"/>
      <w:divBdr>
        <w:top w:val="none" w:sz="0" w:space="0" w:color="auto"/>
        <w:left w:val="none" w:sz="0" w:space="0" w:color="auto"/>
        <w:bottom w:val="none" w:sz="0" w:space="0" w:color="auto"/>
        <w:right w:val="none" w:sz="0" w:space="0" w:color="auto"/>
      </w:divBdr>
    </w:div>
    <w:div w:id="1882284578">
      <w:bodyDiv w:val="1"/>
      <w:marLeft w:val="0"/>
      <w:marRight w:val="0"/>
      <w:marTop w:val="0"/>
      <w:marBottom w:val="0"/>
      <w:divBdr>
        <w:top w:val="none" w:sz="0" w:space="0" w:color="auto"/>
        <w:left w:val="none" w:sz="0" w:space="0" w:color="auto"/>
        <w:bottom w:val="none" w:sz="0" w:space="0" w:color="auto"/>
        <w:right w:val="none" w:sz="0" w:space="0" w:color="auto"/>
      </w:divBdr>
    </w:div>
    <w:div w:id="199564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section-200.3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cfr.gov/current/title-2/part-200/subpart-F" TargetMode="External"/><Relationship Id="rId4" Type="http://schemas.openxmlformats.org/officeDocument/2006/relationships/settings" Target="settings.xml"/><Relationship Id="rId9" Type="http://schemas.openxmlformats.org/officeDocument/2006/relationships/hyperlink" Target="https://www.ecfr.gov/current/title-2/section-200.3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3F049-64E5-4218-A18D-5FC25C774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Mendoza, Lucilla  (HCA)</dc:creator>
  <cp:keywords/>
  <dc:description/>
  <cp:lastModifiedBy>Glavish, Elizabeth R (HCA)</cp:lastModifiedBy>
  <cp:revision>3</cp:revision>
  <cp:lastPrinted>2023-07-15T00:13:00Z</cp:lastPrinted>
  <dcterms:created xsi:type="dcterms:W3CDTF">2023-07-15T00:37:00Z</dcterms:created>
  <dcterms:modified xsi:type="dcterms:W3CDTF">2023-07-15T00:40:00Z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2022-04-12T19:49:47Z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3d14a8cb-a8bf-4c7c-b052-924a3127f77b</vt:lpwstr>
  </property>
  <property fmtid="{D5CDD505-2E9C-101B-9397-08002B2CF9AE}" pid="8" name="MSIP_Label_1520fa42-cf58-4c22-8b93-58cf1d3bd1cb_ContentBits">
    <vt:lpwstr>0</vt:lpwstr>
  </property>
</Properties>
</file>