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F60B" w14:textId="77777777" w:rsidR="00FD4693" w:rsidRDefault="00FD4693" w:rsidP="00FD4693">
      <w:pPr>
        <w:spacing w:after="0"/>
        <w:jc w:val="center"/>
        <w:rPr>
          <w:color w:val="008000"/>
        </w:rPr>
      </w:pPr>
      <w:r>
        <w:rPr>
          <w:noProof/>
        </w:rPr>
        <w:drawing>
          <wp:anchor distT="0" distB="0" distL="0" distR="0" simplePos="0" relativeHeight="251661312" behindDoc="1" locked="0" layoutInCell="0" allowOverlap="1" wp14:anchorId="723BE84F" wp14:editId="7F4C2066">
            <wp:simplePos x="0" y="0"/>
            <wp:positionH relativeFrom="margin">
              <wp:align>center</wp:align>
            </wp:positionH>
            <wp:positionV relativeFrom="page">
              <wp:posOffset>558800</wp:posOffset>
            </wp:positionV>
            <wp:extent cx="602645" cy="562708"/>
            <wp:effectExtent l="0" t="0" r="6985" b="8890"/>
            <wp:wrapNone/>
            <wp:docPr id="1" name="Picture 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
                    <pic:cNvPicPr>
                      <a:picLocks noChangeAspect="1" noChangeArrowheads="1"/>
                    </pic:cNvPicPr>
                  </pic:nvPicPr>
                  <pic:blipFill>
                    <a:blip r:embed="rId8" cstate="print"/>
                    <a:srcRect/>
                    <a:stretch>
                      <a:fillRect/>
                    </a:stretch>
                  </pic:blipFill>
                  <pic:spPr bwMode="auto">
                    <a:xfrm>
                      <a:off x="0" y="0"/>
                      <a:ext cx="602645" cy="562708"/>
                    </a:xfrm>
                    <a:prstGeom prst="rect">
                      <a:avLst/>
                    </a:prstGeom>
                    <a:noFill/>
                  </pic:spPr>
                </pic:pic>
              </a:graphicData>
            </a:graphic>
            <wp14:sizeRelH relativeFrom="margin">
              <wp14:pctWidth>0</wp14:pctWidth>
            </wp14:sizeRelH>
            <wp14:sizeRelV relativeFrom="margin">
              <wp14:pctHeight>0</wp14:pctHeight>
            </wp14:sizeRelV>
          </wp:anchor>
        </w:drawing>
      </w:r>
    </w:p>
    <w:p w14:paraId="3DB2CE07" w14:textId="77777777" w:rsidR="00FD4693" w:rsidRDefault="00FD4693" w:rsidP="00FD4693">
      <w:pPr>
        <w:spacing w:after="0"/>
        <w:jc w:val="center"/>
        <w:rPr>
          <w:color w:val="008000"/>
        </w:rPr>
      </w:pPr>
    </w:p>
    <w:p w14:paraId="0F96A7B4" w14:textId="77777777" w:rsidR="00FD4693" w:rsidRPr="008C3DBA" w:rsidRDefault="00FD4693" w:rsidP="00FD4693">
      <w:pPr>
        <w:spacing w:after="0"/>
        <w:jc w:val="center"/>
        <w:rPr>
          <w:color w:val="008000"/>
        </w:rPr>
      </w:pPr>
      <w:r w:rsidRPr="008C3DBA">
        <w:rPr>
          <w:color w:val="008000"/>
        </w:rPr>
        <w:t>STATE OF WASHINGTON</w:t>
      </w:r>
    </w:p>
    <w:p w14:paraId="21AC70F8" w14:textId="77777777" w:rsidR="00FD4693" w:rsidRPr="008C3DBA" w:rsidRDefault="00FD4693" w:rsidP="00FD4693">
      <w:pPr>
        <w:spacing w:after="0"/>
        <w:jc w:val="center"/>
        <w:rPr>
          <w:b/>
          <w:color w:val="008000"/>
          <w:sz w:val="28"/>
          <w:szCs w:val="28"/>
        </w:rPr>
      </w:pPr>
      <w:r w:rsidRPr="008C3DBA">
        <w:rPr>
          <w:b/>
          <w:color w:val="008000"/>
          <w:sz w:val="28"/>
          <w:szCs w:val="28"/>
        </w:rPr>
        <w:t>HEALTH CARE AUTHORITY</w:t>
      </w:r>
    </w:p>
    <w:p w14:paraId="6F76A5FE" w14:textId="77777777" w:rsidR="00FD4693" w:rsidRDefault="00FD4693" w:rsidP="00FD4693">
      <w:pPr>
        <w:spacing w:after="0" w:line="240" w:lineRule="auto"/>
        <w:jc w:val="center"/>
        <w:rPr>
          <w:rFonts w:ascii="Arial" w:hAnsi="Arial" w:cs="Arial"/>
          <w:b/>
        </w:rPr>
      </w:pPr>
      <w:r>
        <w:fldChar w:fldCharType="begin"/>
      </w:r>
      <w:r>
        <w:instrText xml:space="preserve"> FILLIN   \* MERGEFORMAT </w:instrText>
      </w:r>
      <w:r>
        <w:fldChar w:fldCharType="end"/>
      </w:r>
      <w:r>
        <w:fldChar w:fldCharType="begin"/>
      </w:r>
      <w:r>
        <w:instrText xml:space="preserve"> FILLIN  </w:instrText>
      </w:r>
      <w:r>
        <w:fldChar w:fldCharType="end"/>
      </w:r>
      <w:r>
        <w:rPr>
          <w:color w:val="008000"/>
        </w:rPr>
        <w:t xml:space="preserve"> 626 8</w:t>
      </w:r>
      <w:r w:rsidRPr="00230441">
        <w:rPr>
          <w:color w:val="008000"/>
          <w:vertAlign w:val="superscript"/>
        </w:rPr>
        <w:t>th</w:t>
      </w:r>
      <w:r>
        <w:rPr>
          <w:color w:val="008000"/>
        </w:rPr>
        <w:t xml:space="preserve"> Avenue </w:t>
      </w:r>
      <w:r>
        <w:rPr>
          <w:color w:val="008000"/>
        </w:rPr>
        <w:fldChar w:fldCharType="begin"/>
      </w:r>
      <w:r>
        <w:rPr>
          <w:color w:val="008000"/>
        </w:rPr>
        <w:instrText xml:space="preserve"> FILLIN  "Building Street Address Example: 626 8th Avenue, SE"  \* MERGEFORMAT </w:instrText>
      </w:r>
      <w:r>
        <w:rPr>
          <w:color w:val="008000"/>
        </w:rPr>
        <w:fldChar w:fldCharType="end"/>
      </w:r>
      <w:r>
        <w:fldChar w:fldCharType="begin"/>
      </w:r>
      <w:r>
        <w:instrText xml:space="preserve"> FILLIN  "Building Address Example: 626 8th Avenue, SE"  \* MERGEFORMAT </w:instrText>
      </w:r>
      <w:r>
        <w:fldChar w:fldCharType="end"/>
      </w:r>
      <w:r w:rsidRPr="008C3DBA">
        <w:rPr>
          <w:color w:val="008000"/>
        </w:rPr>
        <w:t>• P.O. Box</w:t>
      </w:r>
      <w:r>
        <w:rPr>
          <w:color w:val="008000"/>
        </w:rPr>
        <w:t xml:space="preserve"> 42702</w:t>
      </w:r>
      <w:r>
        <w:fldChar w:fldCharType="begin"/>
      </w:r>
      <w:r>
        <w:instrText xml:space="preserve"> FILLIN   \* MERGEFORMAT </w:instrText>
      </w:r>
      <w:r>
        <w:fldChar w:fldCharType="end"/>
      </w:r>
      <w:r>
        <w:fldChar w:fldCharType="begin"/>
      </w:r>
      <w:r>
        <w:instrText xml:space="preserve"> FILLIN  "Mail Stop/P.O. Box Number" \d "Mail Stop/P.O. Box Number Example: 45502"  \* MERGEFORMAT </w:instrText>
      </w:r>
      <w:r>
        <w:fldChar w:fldCharType="end"/>
      </w:r>
      <w:r>
        <w:rPr>
          <w:color w:val="008000"/>
        </w:rPr>
        <w:fldChar w:fldCharType="begin"/>
      </w:r>
      <w:r>
        <w:rPr>
          <w:color w:val="008000"/>
        </w:rPr>
        <w:instrText xml:space="preserve"> FILLIN  "Mail Stop/P.O. Box Number Example: 45502" \d  \* MERGEFORMAT </w:instrText>
      </w:r>
      <w:r>
        <w:rPr>
          <w:color w:val="008000"/>
        </w:rPr>
        <w:fldChar w:fldCharType="end"/>
      </w:r>
      <w:r>
        <w:rPr>
          <w:color w:val="008000"/>
        </w:rPr>
        <w:fldChar w:fldCharType="begin"/>
      </w:r>
      <w:r>
        <w:rPr>
          <w:color w:val="008000"/>
        </w:rPr>
        <w:instrText xml:space="preserve"> FILLIN  "Mail Stop/P.O. Box Number"  \* MERGEFORMAT </w:instrText>
      </w:r>
      <w:r>
        <w:rPr>
          <w:color w:val="008000"/>
        </w:rPr>
        <w:fldChar w:fldCharType="end"/>
      </w:r>
      <w:r>
        <w:fldChar w:fldCharType="begin"/>
      </w:r>
      <w:r>
        <w:instrText xml:space="preserve"> FILLIN  "Mail Stop/P.O. Box Number Example: 45502"  \* MERGEFORMAT </w:instrText>
      </w:r>
      <w:r>
        <w:fldChar w:fldCharType="end"/>
      </w:r>
      <w:r>
        <w:t xml:space="preserve"> </w:t>
      </w:r>
      <w:r w:rsidRPr="008C3DBA">
        <w:rPr>
          <w:color w:val="008000"/>
        </w:rPr>
        <w:t>• Olympia, Washington</w:t>
      </w:r>
      <w:r>
        <w:rPr>
          <w:color w:val="008000"/>
        </w:rPr>
        <w:t xml:space="preserve"> 98504-2702</w:t>
      </w:r>
    </w:p>
    <w:p w14:paraId="35CB018D" w14:textId="77777777" w:rsidR="004C73D2" w:rsidRDefault="004C73D2" w:rsidP="00FD4693"/>
    <w:p w14:paraId="480756DD" w14:textId="77777777" w:rsidR="005A1DD3" w:rsidRPr="00503900" w:rsidRDefault="005A1DD3" w:rsidP="005A1DD3">
      <w:pPr>
        <w:spacing w:after="0"/>
        <w:jc w:val="center"/>
        <w:rPr>
          <w:rFonts w:ascii="Arial" w:hAnsi="Arial" w:cs="Arial"/>
          <w:b/>
          <w:sz w:val="24"/>
          <w:szCs w:val="24"/>
        </w:rPr>
      </w:pPr>
      <w:r w:rsidRPr="00503900">
        <w:rPr>
          <w:rFonts w:ascii="Arial" w:hAnsi="Arial" w:cs="Arial"/>
          <w:b/>
          <w:sz w:val="24"/>
          <w:szCs w:val="24"/>
        </w:rPr>
        <w:t>RFA NO. 3189</w:t>
      </w:r>
    </w:p>
    <w:p w14:paraId="5C9C318D" w14:textId="77777777" w:rsidR="005A1DD3" w:rsidRPr="00503900" w:rsidRDefault="005A1DD3" w:rsidP="005A1DD3">
      <w:pPr>
        <w:spacing w:after="0"/>
        <w:jc w:val="center"/>
        <w:rPr>
          <w:rFonts w:ascii="Arial" w:hAnsi="Arial" w:cs="Arial"/>
          <w:b/>
          <w:sz w:val="24"/>
          <w:szCs w:val="24"/>
        </w:rPr>
      </w:pPr>
      <w:r w:rsidRPr="00503900">
        <w:rPr>
          <w:rFonts w:ascii="Arial" w:hAnsi="Arial" w:cs="Arial"/>
          <w:b/>
          <w:sz w:val="24"/>
          <w:szCs w:val="24"/>
        </w:rPr>
        <w:t>Amendment #1</w:t>
      </w:r>
    </w:p>
    <w:p w14:paraId="6F25E32F" w14:textId="77777777" w:rsidR="005A1DD3" w:rsidRDefault="005A1DD3" w:rsidP="005A1DD3">
      <w:pPr>
        <w:jc w:val="center"/>
        <w:rPr>
          <w:rFonts w:ascii="Arial" w:hAnsi="Arial" w:cs="Arial"/>
        </w:rPr>
      </w:pPr>
    </w:p>
    <w:p w14:paraId="1B8970AC" w14:textId="77777777" w:rsidR="005A1DD3" w:rsidRPr="00BE612C" w:rsidRDefault="005A1DD3" w:rsidP="00BC251F">
      <w:pPr>
        <w:ind w:left="-720" w:firstLine="720"/>
        <w:rPr>
          <w:rFonts w:ascii="Calibri" w:hAnsi="Calibri" w:cs="Calibri"/>
        </w:rPr>
      </w:pPr>
      <w:r w:rsidRPr="00BE612C">
        <w:rPr>
          <w:rFonts w:ascii="Calibri" w:hAnsi="Calibri" w:cs="Calibri"/>
          <w:b/>
        </w:rPr>
        <w:t>PROJECT TITLE:</w:t>
      </w:r>
      <w:r w:rsidRPr="00BE612C">
        <w:rPr>
          <w:rFonts w:ascii="Calibri" w:hAnsi="Calibri" w:cs="Calibri"/>
        </w:rPr>
        <w:t xml:space="preserve"> </w:t>
      </w:r>
      <w:r w:rsidR="00BE612C">
        <w:rPr>
          <w:rFonts w:ascii="Calibri" w:hAnsi="Calibri" w:cs="Calibri"/>
        </w:rPr>
        <w:tab/>
      </w:r>
      <w:r w:rsidRPr="00BE612C">
        <w:rPr>
          <w:rFonts w:ascii="Calibri" w:hAnsi="Calibri" w:cs="Calibri"/>
        </w:rPr>
        <w:t xml:space="preserve"> Integrated Care for Kids (</w:t>
      </w:r>
      <w:proofErr w:type="spellStart"/>
      <w:r w:rsidRPr="00BE612C">
        <w:rPr>
          <w:rFonts w:ascii="Calibri" w:hAnsi="Calibri" w:cs="Calibri"/>
        </w:rPr>
        <w:t>InCK</w:t>
      </w:r>
      <w:proofErr w:type="spellEnd"/>
      <w:r w:rsidRPr="00BE612C">
        <w:rPr>
          <w:rFonts w:ascii="Calibri" w:hAnsi="Calibri" w:cs="Calibri"/>
        </w:rPr>
        <w:t>) Model Project</w:t>
      </w:r>
    </w:p>
    <w:p w14:paraId="02B42DDC" w14:textId="20373694" w:rsidR="005A1DD3" w:rsidRPr="00BE612C" w:rsidRDefault="005A1DD3" w:rsidP="00BC251F">
      <w:pPr>
        <w:ind w:left="-720" w:firstLine="720"/>
        <w:rPr>
          <w:rFonts w:ascii="Calibri" w:hAnsi="Calibri" w:cs="Calibri"/>
        </w:rPr>
      </w:pPr>
      <w:r w:rsidRPr="00BE612C">
        <w:rPr>
          <w:rFonts w:ascii="Calibri" w:hAnsi="Calibri" w:cs="Calibri"/>
          <w:b/>
        </w:rPr>
        <w:t>SUBJECT:</w:t>
      </w:r>
      <w:r w:rsidRPr="00BE612C">
        <w:rPr>
          <w:rFonts w:ascii="Calibri" w:hAnsi="Calibri" w:cs="Calibri"/>
        </w:rPr>
        <w:t xml:space="preserve">  </w:t>
      </w:r>
      <w:r w:rsidR="00BE612C">
        <w:rPr>
          <w:rFonts w:ascii="Calibri" w:hAnsi="Calibri" w:cs="Calibri"/>
        </w:rPr>
        <w:tab/>
      </w:r>
      <w:r w:rsidRPr="00BE612C">
        <w:rPr>
          <w:rFonts w:ascii="Calibri" w:hAnsi="Calibri" w:cs="Calibri"/>
        </w:rPr>
        <w:t>HCA’s Response to Bidder Questions</w:t>
      </w:r>
      <w:r w:rsidR="005C2883">
        <w:rPr>
          <w:rFonts w:ascii="Calibri" w:hAnsi="Calibri" w:cs="Calibri"/>
        </w:rPr>
        <w:t>,</w:t>
      </w:r>
      <w:bookmarkStart w:id="0" w:name="_GoBack"/>
      <w:bookmarkEnd w:id="0"/>
      <w:r w:rsidR="005C2883">
        <w:rPr>
          <w:rFonts w:ascii="Calibri" w:hAnsi="Calibri" w:cs="Calibri"/>
        </w:rPr>
        <w:t xml:space="preserve"> Schedule Revision, and Additional Information</w:t>
      </w:r>
    </w:p>
    <w:p w14:paraId="55500D50" w14:textId="77777777" w:rsidR="005A1DD3" w:rsidRPr="00BE612C" w:rsidRDefault="005A1DD3" w:rsidP="00BC251F">
      <w:pPr>
        <w:ind w:left="-720" w:firstLine="720"/>
        <w:rPr>
          <w:rFonts w:ascii="Calibri" w:hAnsi="Calibri" w:cs="Calibri"/>
        </w:rPr>
      </w:pPr>
      <w:r w:rsidRPr="00BE612C">
        <w:rPr>
          <w:rFonts w:ascii="Calibri" w:hAnsi="Calibri" w:cs="Calibri"/>
          <w:b/>
        </w:rPr>
        <w:t xml:space="preserve">DATE ISSUED:  </w:t>
      </w:r>
      <w:r w:rsidR="00BE612C">
        <w:rPr>
          <w:rFonts w:ascii="Calibri" w:hAnsi="Calibri" w:cs="Calibri"/>
          <w:b/>
        </w:rPr>
        <w:tab/>
      </w:r>
      <w:r w:rsidRPr="00BE612C">
        <w:rPr>
          <w:rFonts w:ascii="Calibri" w:hAnsi="Calibri" w:cs="Calibri"/>
        </w:rPr>
        <w:t>November 9, 2018</w:t>
      </w:r>
    </w:p>
    <w:p w14:paraId="7B1B9F56" w14:textId="77777777" w:rsidR="00FB148C" w:rsidRDefault="00FB148C" w:rsidP="00BE612C">
      <w:pPr>
        <w:spacing w:after="0" w:line="240" w:lineRule="auto"/>
        <w:ind w:left="-720"/>
        <w:rPr>
          <w:rFonts w:ascii="Arial" w:hAnsi="Arial" w:cs="Arial"/>
        </w:rPr>
      </w:pPr>
    </w:p>
    <w:p w14:paraId="6DBC9EF3" w14:textId="324AD175" w:rsidR="00FB148C" w:rsidRDefault="00FB148C" w:rsidP="00E6302F">
      <w:pPr>
        <w:pBdr>
          <w:bottom w:val="single" w:sz="8" w:space="1" w:color="auto"/>
        </w:pBdr>
        <w:rPr>
          <w:rFonts w:cstheme="minorHAnsi"/>
        </w:rPr>
      </w:pPr>
      <w:r w:rsidRPr="00BE612C">
        <w:rPr>
          <w:rFonts w:cstheme="minorHAnsi"/>
        </w:rPr>
        <w:t xml:space="preserve">The purpose of Amendment </w:t>
      </w:r>
      <w:r w:rsidR="003E5C34">
        <w:rPr>
          <w:rFonts w:cstheme="minorHAnsi"/>
        </w:rPr>
        <w:t>#1</w:t>
      </w:r>
      <w:r w:rsidRPr="00BE612C">
        <w:rPr>
          <w:rFonts w:cstheme="minorHAnsi"/>
        </w:rPr>
        <w:t xml:space="preserve"> is</w:t>
      </w:r>
      <w:r w:rsidR="005A1DD3" w:rsidRPr="00BE612C">
        <w:rPr>
          <w:rFonts w:cstheme="minorHAnsi"/>
        </w:rPr>
        <w:t xml:space="preserve"> to </w:t>
      </w:r>
      <w:r w:rsidR="004C6414">
        <w:rPr>
          <w:rFonts w:cstheme="minorHAnsi"/>
        </w:rPr>
        <w:t>answer</w:t>
      </w:r>
      <w:r w:rsidR="004C6414" w:rsidRPr="00BE612C">
        <w:rPr>
          <w:rFonts w:cstheme="minorHAnsi"/>
        </w:rPr>
        <w:t xml:space="preserve"> Bidder questions</w:t>
      </w:r>
      <w:r w:rsidR="004C6414">
        <w:rPr>
          <w:rFonts w:cstheme="minorHAnsi"/>
        </w:rPr>
        <w:t>, provide</w:t>
      </w:r>
      <w:r w:rsidR="004C6414" w:rsidRPr="00BE612C">
        <w:rPr>
          <w:rFonts w:cstheme="minorHAnsi"/>
        </w:rPr>
        <w:t xml:space="preserve"> </w:t>
      </w:r>
      <w:r w:rsidR="00BD68E9">
        <w:rPr>
          <w:rFonts w:cstheme="minorHAnsi"/>
        </w:rPr>
        <w:t xml:space="preserve">additional information and clarification, </w:t>
      </w:r>
      <w:r w:rsidR="004C6414">
        <w:rPr>
          <w:rFonts w:cstheme="minorHAnsi"/>
        </w:rPr>
        <w:t xml:space="preserve">and </w:t>
      </w:r>
      <w:r w:rsidR="0025035E">
        <w:rPr>
          <w:rFonts w:cstheme="minorHAnsi"/>
        </w:rPr>
        <w:t xml:space="preserve">to </w:t>
      </w:r>
      <w:r w:rsidR="004C6414">
        <w:rPr>
          <w:rFonts w:cstheme="minorHAnsi"/>
        </w:rPr>
        <w:t>revise the RFA schedule</w:t>
      </w:r>
      <w:r w:rsidR="00BC0A60">
        <w:rPr>
          <w:rFonts w:cstheme="minorHAnsi"/>
        </w:rPr>
        <w:t xml:space="preserve"> </w:t>
      </w:r>
      <w:r w:rsidRPr="00BE612C">
        <w:rPr>
          <w:rFonts w:cstheme="minorHAnsi"/>
        </w:rPr>
        <w:t>as follows:</w:t>
      </w:r>
    </w:p>
    <w:p w14:paraId="7B5256C2" w14:textId="77777777" w:rsidR="002E14B1" w:rsidRDefault="002E14B1" w:rsidP="00E6302F">
      <w:pPr>
        <w:pBdr>
          <w:bottom w:val="single" w:sz="8" w:space="1" w:color="auto"/>
        </w:pBdr>
        <w:rPr>
          <w:rFonts w:cstheme="minorHAnsi"/>
        </w:rPr>
      </w:pPr>
    </w:p>
    <w:p w14:paraId="1B64E943" w14:textId="2541BFFD" w:rsidR="00BC251F" w:rsidRPr="00917A7B" w:rsidRDefault="00BD68E9" w:rsidP="00BC251F">
      <w:pPr>
        <w:ind w:left="-720" w:firstLine="720"/>
        <w:rPr>
          <w:rFonts w:cstheme="minorHAnsi"/>
          <w:b/>
          <w:sz w:val="28"/>
          <w:szCs w:val="28"/>
        </w:rPr>
      </w:pPr>
      <w:r w:rsidRPr="00917A7B">
        <w:rPr>
          <w:rFonts w:cstheme="minorHAnsi"/>
          <w:b/>
          <w:sz w:val="28"/>
          <w:szCs w:val="28"/>
        </w:rPr>
        <w:t>HCA’s Response to Bidder Questions</w:t>
      </w:r>
    </w:p>
    <w:p w14:paraId="1E31B5CC" w14:textId="77777777" w:rsidR="00BD68E9" w:rsidRDefault="00BD68E9" w:rsidP="00BC251F">
      <w:pPr>
        <w:ind w:left="-720" w:firstLine="720"/>
        <w:rPr>
          <w:rFonts w:cstheme="minorHAnsi"/>
        </w:rPr>
      </w:pPr>
    </w:p>
    <w:p w14:paraId="09558164" w14:textId="77777777" w:rsidR="00BC251F" w:rsidRDefault="00BC251F" w:rsidP="00B12D4C">
      <w:pPr>
        <w:spacing w:line="240" w:lineRule="auto"/>
        <w:ind w:left="1260" w:hanging="1260"/>
        <w:rPr>
          <w:rFonts w:cstheme="minorHAnsi"/>
        </w:rPr>
      </w:pPr>
      <w:r w:rsidRPr="00B12D4C">
        <w:rPr>
          <w:rFonts w:cstheme="minorHAnsi"/>
          <w:b/>
        </w:rPr>
        <w:t>Question 1:</w:t>
      </w:r>
      <w:r>
        <w:rPr>
          <w:rFonts w:cstheme="minorHAnsi"/>
        </w:rPr>
        <w:tab/>
        <w:t>(Pg. 17</w:t>
      </w:r>
      <w:r w:rsidRPr="00B12D4C">
        <w:rPr>
          <w:rFonts w:cstheme="minorHAnsi"/>
        </w:rPr>
        <w:t>)</w:t>
      </w:r>
      <w:r w:rsidR="00D90E8F">
        <w:rPr>
          <w:rFonts w:cstheme="minorHAnsi"/>
        </w:rPr>
        <w:t xml:space="preserve">  </w:t>
      </w:r>
      <w:r w:rsidRPr="00B12D4C">
        <w:rPr>
          <w:rFonts w:cstheme="minorHAnsi"/>
        </w:rPr>
        <w:t xml:space="preserve"> </w:t>
      </w:r>
      <w:proofErr w:type="gramStart"/>
      <w:r w:rsidR="00B12D4C" w:rsidRPr="00B12D4C">
        <w:rPr>
          <w:rFonts w:cstheme="minorHAnsi"/>
        </w:rPr>
        <w:t>In</w:t>
      </w:r>
      <w:proofErr w:type="gramEnd"/>
      <w:r w:rsidR="00B12D4C" w:rsidRPr="00B12D4C">
        <w:rPr>
          <w:rFonts w:cstheme="minorHAnsi"/>
        </w:rPr>
        <w:t xml:space="preserve"> our review of Section #5 RFA Exhibits, we did not find a sample MOU.  Is HCA planning to add a sample MOU to the RFA documents?</w:t>
      </w:r>
    </w:p>
    <w:p w14:paraId="305188D5" w14:textId="77777777" w:rsidR="00B12D4C" w:rsidRDefault="00B12D4C" w:rsidP="00B12D4C">
      <w:pPr>
        <w:spacing w:line="240" w:lineRule="auto"/>
        <w:ind w:left="1260" w:hanging="1260"/>
        <w:rPr>
          <w:rFonts w:ascii="Arial" w:hAnsi="Arial" w:cs="Arial"/>
          <w:color w:val="FF0000"/>
          <w:sz w:val="20"/>
          <w:szCs w:val="20"/>
        </w:rPr>
      </w:pPr>
      <w:r w:rsidRPr="00B12D4C">
        <w:rPr>
          <w:rFonts w:cstheme="minorHAnsi"/>
          <w:b/>
          <w:color w:val="FF0000"/>
        </w:rPr>
        <w:t>Answer 1:</w:t>
      </w:r>
      <w:r w:rsidRPr="00B12D4C">
        <w:rPr>
          <w:rFonts w:cstheme="minorHAnsi"/>
          <w:b/>
          <w:color w:val="FF0000"/>
        </w:rPr>
        <w:tab/>
      </w:r>
      <w:r w:rsidRPr="00B12D4C">
        <w:rPr>
          <w:rFonts w:cstheme="minorHAnsi"/>
          <w:color w:val="FF0000"/>
        </w:rPr>
        <w:t>HCA is still in t</w:t>
      </w:r>
      <w:r w:rsidR="00503900">
        <w:rPr>
          <w:rFonts w:cstheme="minorHAnsi"/>
          <w:color w:val="FF0000"/>
        </w:rPr>
        <w:t xml:space="preserve">he process of drafting the MOU and </w:t>
      </w:r>
      <w:proofErr w:type="gramStart"/>
      <w:r w:rsidR="00503900">
        <w:rPr>
          <w:rFonts w:cstheme="minorHAnsi"/>
          <w:color w:val="FF0000"/>
        </w:rPr>
        <w:t>will be sent</w:t>
      </w:r>
      <w:proofErr w:type="gramEnd"/>
      <w:r w:rsidR="00503900">
        <w:rPr>
          <w:rFonts w:cstheme="minorHAnsi"/>
          <w:color w:val="FF0000"/>
        </w:rPr>
        <w:t xml:space="preserve"> to the selected ASB for signature. </w:t>
      </w:r>
    </w:p>
    <w:p w14:paraId="42FB335D" w14:textId="77777777" w:rsidR="00B12D4C" w:rsidRDefault="00B12D4C" w:rsidP="00B12D4C">
      <w:pPr>
        <w:ind w:left="1260" w:hanging="1260"/>
        <w:rPr>
          <w:rFonts w:ascii="Arial" w:hAnsi="Arial" w:cs="Arial"/>
          <w:color w:val="FF0000"/>
          <w:sz w:val="20"/>
          <w:szCs w:val="20"/>
        </w:rPr>
      </w:pPr>
      <w:r w:rsidRPr="00B12D4C">
        <w:rPr>
          <w:rFonts w:ascii="Arial" w:hAnsi="Arial" w:cs="Arial"/>
          <w:color w:val="FF0000"/>
          <w:sz w:val="20"/>
          <w:szCs w:val="20"/>
        </w:rPr>
        <w:t xml:space="preserve">  </w:t>
      </w:r>
    </w:p>
    <w:p w14:paraId="39EE4469" w14:textId="77777777" w:rsidR="00B12D4C" w:rsidRDefault="00B12D4C" w:rsidP="00B12D4C">
      <w:pPr>
        <w:spacing w:after="0" w:line="240" w:lineRule="auto"/>
        <w:ind w:left="1260" w:hanging="1260"/>
        <w:rPr>
          <w:rFonts w:ascii="Arial" w:hAnsi="Arial" w:cs="Arial"/>
          <w:sz w:val="20"/>
          <w:szCs w:val="20"/>
        </w:rPr>
      </w:pPr>
      <w:r>
        <w:rPr>
          <w:rFonts w:cstheme="minorHAnsi"/>
          <w:b/>
        </w:rPr>
        <w:t>Question 2</w:t>
      </w:r>
      <w:r w:rsidRPr="00B12D4C">
        <w:rPr>
          <w:rFonts w:cstheme="minorHAnsi"/>
          <w:b/>
        </w:rPr>
        <w:t>:</w:t>
      </w:r>
      <w:r>
        <w:rPr>
          <w:rFonts w:cstheme="minorHAnsi"/>
          <w:b/>
        </w:rPr>
        <w:tab/>
      </w:r>
      <w:r w:rsidRPr="00B12D4C">
        <w:rPr>
          <w:rFonts w:cstheme="minorHAnsi"/>
        </w:rPr>
        <w:t xml:space="preserve">How will the </w:t>
      </w:r>
      <w:proofErr w:type="spellStart"/>
      <w:r w:rsidRPr="00B12D4C">
        <w:rPr>
          <w:rFonts w:cstheme="minorHAnsi"/>
        </w:rPr>
        <w:t>InCK</w:t>
      </w:r>
      <w:proofErr w:type="spellEnd"/>
      <w:r w:rsidRPr="00B12D4C">
        <w:rPr>
          <w:rFonts w:cstheme="minorHAnsi"/>
        </w:rPr>
        <w:t xml:space="preserve"> project intermingle with the current Integrated Managed Care activities underway in WA?</w:t>
      </w:r>
      <w:r w:rsidRPr="006C781D">
        <w:rPr>
          <w:rFonts w:ascii="Arial" w:hAnsi="Arial" w:cs="Arial"/>
          <w:sz w:val="20"/>
          <w:szCs w:val="20"/>
        </w:rPr>
        <w:t xml:space="preserve"> </w:t>
      </w:r>
    </w:p>
    <w:p w14:paraId="04C350E2" w14:textId="77777777" w:rsidR="00B12D4C" w:rsidRDefault="00B12D4C" w:rsidP="00B12D4C">
      <w:pPr>
        <w:spacing w:after="0" w:line="240" w:lineRule="auto"/>
        <w:ind w:left="1260" w:hanging="1260"/>
        <w:rPr>
          <w:rFonts w:ascii="Arial" w:hAnsi="Arial" w:cs="Arial"/>
          <w:sz w:val="20"/>
          <w:szCs w:val="20"/>
        </w:rPr>
      </w:pPr>
    </w:p>
    <w:p w14:paraId="54028E52" w14:textId="6E03684D" w:rsidR="00B12D4C" w:rsidRPr="005C219A" w:rsidRDefault="00B12D4C" w:rsidP="00B12D4C">
      <w:pPr>
        <w:spacing w:after="0" w:line="240" w:lineRule="auto"/>
        <w:ind w:left="1260" w:hanging="1260"/>
        <w:rPr>
          <w:rFonts w:cstheme="minorHAnsi"/>
          <w:color w:val="FF0000"/>
        </w:rPr>
      </w:pPr>
      <w:r>
        <w:rPr>
          <w:rFonts w:cstheme="minorHAnsi"/>
          <w:b/>
          <w:color w:val="FF0000"/>
        </w:rPr>
        <w:t>Answer 2</w:t>
      </w:r>
      <w:r w:rsidRPr="00B12D4C">
        <w:rPr>
          <w:rFonts w:cstheme="minorHAnsi"/>
          <w:b/>
          <w:color w:val="FF0000"/>
        </w:rPr>
        <w:t>:</w:t>
      </w:r>
      <w:r w:rsidR="0059712E">
        <w:rPr>
          <w:rFonts w:cstheme="minorHAnsi"/>
          <w:b/>
          <w:color w:val="FF0000"/>
        </w:rPr>
        <w:tab/>
      </w:r>
      <w:r w:rsidR="005C219A">
        <w:rPr>
          <w:rFonts w:cstheme="minorHAnsi"/>
          <w:color w:val="FF0000"/>
        </w:rPr>
        <w:t xml:space="preserve">HCA is waiting on the forthcoming </w:t>
      </w:r>
      <w:r w:rsidR="00307E88">
        <w:rPr>
          <w:rFonts w:cstheme="minorHAnsi"/>
          <w:color w:val="FF0000"/>
        </w:rPr>
        <w:t>notice of funding opportunity (NOFO)</w:t>
      </w:r>
      <w:r w:rsidR="005C219A">
        <w:rPr>
          <w:rFonts w:cstheme="minorHAnsi"/>
          <w:color w:val="FF0000"/>
        </w:rPr>
        <w:t xml:space="preserve"> and supplemental guidance regarding the service delivery model and payment model.  It </w:t>
      </w:r>
      <w:proofErr w:type="gramStart"/>
      <w:r w:rsidR="005C219A">
        <w:rPr>
          <w:rFonts w:cstheme="minorHAnsi"/>
          <w:color w:val="FF0000"/>
        </w:rPr>
        <w:t>is anticipated</w:t>
      </w:r>
      <w:proofErr w:type="gramEnd"/>
      <w:r w:rsidR="005C219A">
        <w:rPr>
          <w:rFonts w:cstheme="minorHAnsi"/>
          <w:color w:val="FF0000"/>
        </w:rPr>
        <w:t xml:space="preserve"> that the payment model will align with the Integrated Managed Care system and related transformation efforts where possible.</w:t>
      </w:r>
      <w:r w:rsidR="00470829" w:rsidRPr="005C219A">
        <w:rPr>
          <w:rFonts w:cstheme="minorHAnsi"/>
          <w:color w:val="FF0000"/>
        </w:rPr>
        <w:t xml:space="preserve"> </w:t>
      </w:r>
    </w:p>
    <w:p w14:paraId="011ABDAE" w14:textId="77777777" w:rsidR="00B12D4C" w:rsidRDefault="00B12D4C" w:rsidP="00B12D4C">
      <w:pPr>
        <w:spacing w:after="0" w:line="240" w:lineRule="auto"/>
        <w:ind w:left="1260" w:hanging="1260"/>
        <w:rPr>
          <w:rFonts w:cstheme="minorHAnsi"/>
          <w:b/>
          <w:color w:val="FF0000"/>
        </w:rPr>
      </w:pPr>
    </w:p>
    <w:p w14:paraId="79EB602C" w14:textId="77777777" w:rsidR="00B12D4C" w:rsidRDefault="00B12D4C" w:rsidP="00B12D4C">
      <w:pPr>
        <w:spacing w:after="0" w:line="240" w:lineRule="auto"/>
        <w:ind w:left="1260" w:hanging="1260"/>
        <w:rPr>
          <w:rFonts w:cstheme="minorHAnsi"/>
          <w:b/>
          <w:color w:val="FF0000"/>
        </w:rPr>
      </w:pPr>
    </w:p>
    <w:p w14:paraId="55D57F61" w14:textId="77777777" w:rsidR="00B12D4C" w:rsidRDefault="00B12D4C" w:rsidP="00B12D4C">
      <w:pPr>
        <w:spacing w:after="0" w:line="240" w:lineRule="auto"/>
        <w:ind w:left="1260" w:hanging="1260"/>
        <w:rPr>
          <w:rFonts w:cstheme="minorHAnsi"/>
        </w:rPr>
      </w:pPr>
      <w:r w:rsidRPr="00B12D4C">
        <w:rPr>
          <w:rFonts w:cstheme="minorHAnsi"/>
          <w:b/>
          <w:color w:val="000000" w:themeColor="text1"/>
        </w:rPr>
        <w:t>Question 3</w:t>
      </w:r>
      <w:r w:rsidR="00646CF2">
        <w:rPr>
          <w:rFonts w:cstheme="minorHAnsi"/>
          <w:b/>
          <w:color w:val="000000" w:themeColor="text1"/>
        </w:rPr>
        <w:t>:</w:t>
      </w:r>
      <w:r>
        <w:rPr>
          <w:rFonts w:cstheme="minorHAnsi"/>
          <w:b/>
          <w:color w:val="000000" w:themeColor="text1"/>
        </w:rPr>
        <w:tab/>
      </w:r>
      <w:r w:rsidRPr="00B12D4C">
        <w:rPr>
          <w:rFonts w:cstheme="minorHAnsi"/>
        </w:rPr>
        <w:t>Given the myriad of resource intensive activities surrounding Integrated Managed Care and the 2019 Go Live, is there a possibility of pushing this CMS project out at least one year?</w:t>
      </w:r>
    </w:p>
    <w:p w14:paraId="7A849A4E" w14:textId="77777777" w:rsidR="00646CF2" w:rsidRPr="00646CF2" w:rsidRDefault="00646CF2" w:rsidP="00B12D4C">
      <w:pPr>
        <w:spacing w:after="0" w:line="240" w:lineRule="auto"/>
        <w:ind w:left="1260" w:hanging="1260"/>
        <w:rPr>
          <w:rFonts w:cstheme="minorHAnsi"/>
          <w:color w:val="000000" w:themeColor="text1"/>
        </w:rPr>
      </w:pPr>
    </w:p>
    <w:p w14:paraId="307C10BD" w14:textId="1B2E0523" w:rsidR="00646CF2" w:rsidRDefault="00646CF2" w:rsidP="00B12D4C">
      <w:pPr>
        <w:spacing w:after="0" w:line="240" w:lineRule="auto"/>
        <w:ind w:left="1260" w:hanging="1260"/>
        <w:rPr>
          <w:rFonts w:cstheme="minorHAnsi"/>
          <w:color w:val="FF0000"/>
        </w:rPr>
      </w:pPr>
      <w:r w:rsidRPr="00646CF2">
        <w:rPr>
          <w:rFonts w:cstheme="minorHAnsi"/>
          <w:b/>
          <w:color w:val="FF0000"/>
        </w:rPr>
        <w:t>Answer 3:</w:t>
      </w:r>
      <w:r w:rsidRPr="00646CF2">
        <w:rPr>
          <w:rFonts w:cstheme="minorHAnsi"/>
          <w:b/>
          <w:color w:val="FF0000"/>
        </w:rPr>
        <w:tab/>
      </w:r>
      <w:r w:rsidR="005C219A" w:rsidRPr="005C219A">
        <w:rPr>
          <w:rFonts w:cstheme="minorHAnsi"/>
          <w:color w:val="FF0000"/>
        </w:rPr>
        <w:t>HCA does not anticipate flexibility regarding the C</w:t>
      </w:r>
      <w:r w:rsidR="001F4733" w:rsidRPr="005C219A">
        <w:rPr>
          <w:rFonts w:cstheme="minorHAnsi"/>
          <w:color w:val="FF0000"/>
        </w:rPr>
        <w:t>MS timeline</w:t>
      </w:r>
      <w:r w:rsidR="005C219A" w:rsidRPr="005C219A">
        <w:rPr>
          <w:rFonts w:cstheme="minorHAnsi"/>
          <w:color w:val="FF0000"/>
        </w:rPr>
        <w:t xml:space="preserve"> for this model.  However, it is important to note there is a </w:t>
      </w:r>
      <w:proofErr w:type="gramStart"/>
      <w:r w:rsidR="005C219A" w:rsidRPr="005C219A">
        <w:rPr>
          <w:rFonts w:cstheme="minorHAnsi"/>
          <w:color w:val="FF0000"/>
        </w:rPr>
        <w:t>two year</w:t>
      </w:r>
      <w:proofErr w:type="gramEnd"/>
      <w:r w:rsidR="005C219A" w:rsidRPr="005C219A">
        <w:rPr>
          <w:rFonts w:cstheme="minorHAnsi"/>
          <w:color w:val="FF0000"/>
        </w:rPr>
        <w:t xml:space="preserve"> planning phase </w:t>
      </w:r>
      <w:r w:rsidR="005C219A">
        <w:rPr>
          <w:rFonts w:cstheme="minorHAnsi"/>
          <w:color w:val="FF0000"/>
        </w:rPr>
        <w:t>prior to actual implementation.</w:t>
      </w:r>
    </w:p>
    <w:p w14:paraId="4F87CD4E" w14:textId="77777777" w:rsidR="005C219A" w:rsidRPr="00646CF2" w:rsidRDefault="005C219A" w:rsidP="00B12D4C">
      <w:pPr>
        <w:spacing w:after="0" w:line="240" w:lineRule="auto"/>
        <w:ind w:left="1260" w:hanging="1260"/>
        <w:rPr>
          <w:rFonts w:cstheme="minorHAnsi"/>
          <w:b/>
          <w:color w:val="FF0000"/>
        </w:rPr>
      </w:pPr>
    </w:p>
    <w:p w14:paraId="229AF6A8" w14:textId="77777777" w:rsidR="00646CF2" w:rsidRPr="00646CF2" w:rsidRDefault="00646CF2" w:rsidP="00B12D4C">
      <w:pPr>
        <w:spacing w:after="0" w:line="240" w:lineRule="auto"/>
        <w:ind w:left="1260" w:hanging="1260"/>
        <w:rPr>
          <w:rFonts w:cstheme="minorHAnsi"/>
        </w:rPr>
      </w:pPr>
      <w:r w:rsidRPr="00646CF2">
        <w:rPr>
          <w:rFonts w:cstheme="minorHAnsi"/>
          <w:b/>
          <w:color w:val="000000" w:themeColor="text1"/>
        </w:rPr>
        <w:lastRenderedPageBreak/>
        <w:t>Question 4:</w:t>
      </w:r>
      <w:r w:rsidRPr="00646CF2">
        <w:rPr>
          <w:rFonts w:cstheme="minorHAnsi"/>
          <w:b/>
          <w:color w:val="000000" w:themeColor="text1"/>
        </w:rPr>
        <w:tab/>
      </w:r>
      <w:r w:rsidRPr="00646CF2">
        <w:rPr>
          <w:rFonts w:cstheme="minorHAnsi"/>
        </w:rPr>
        <w:t xml:space="preserve">Is it fair to assume, when thinking about services that a lead organization might provide or coordinate, that the financing plan/payment model developed by the state would be designed to pay for these services to the extent that </w:t>
      </w:r>
      <w:proofErr w:type="gramStart"/>
      <w:r w:rsidRPr="00646CF2">
        <w:rPr>
          <w:rFonts w:cstheme="minorHAnsi"/>
        </w:rPr>
        <w:t>they are not already covered by Washington Medicaid/CHIP</w:t>
      </w:r>
      <w:proofErr w:type="gramEnd"/>
      <w:r w:rsidRPr="00646CF2">
        <w:rPr>
          <w:rFonts w:cstheme="minorHAnsi"/>
        </w:rPr>
        <w:t>?</w:t>
      </w:r>
    </w:p>
    <w:p w14:paraId="2DF55643" w14:textId="77777777" w:rsidR="00646CF2" w:rsidRPr="00646CF2" w:rsidRDefault="00646CF2" w:rsidP="00B12D4C">
      <w:pPr>
        <w:spacing w:after="0" w:line="240" w:lineRule="auto"/>
        <w:ind w:left="1260" w:hanging="1260"/>
        <w:rPr>
          <w:rFonts w:cstheme="minorHAnsi"/>
          <w:b/>
          <w:color w:val="000000" w:themeColor="text1"/>
        </w:rPr>
      </w:pPr>
    </w:p>
    <w:p w14:paraId="37FB09E7" w14:textId="41CE091C" w:rsidR="00646CF2" w:rsidRPr="00646CF2" w:rsidRDefault="00646CF2" w:rsidP="00B12D4C">
      <w:pPr>
        <w:spacing w:after="0" w:line="240" w:lineRule="auto"/>
        <w:ind w:left="1260" w:hanging="1260"/>
        <w:rPr>
          <w:rFonts w:cstheme="minorHAnsi"/>
          <w:b/>
          <w:color w:val="FF0000"/>
        </w:rPr>
      </w:pPr>
      <w:r w:rsidRPr="00646CF2">
        <w:rPr>
          <w:rFonts w:cstheme="minorHAnsi"/>
          <w:b/>
          <w:color w:val="FF0000"/>
        </w:rPr>
        <w:t>Answer 4:</w:t>
      </w:r>
      <w:r w:rsidR="00F243D2">
        <w:rPr>
          <w:rFonts w:cstheme="minorHAnsi"/>
          <w:b/>
          <w:color w:val="FF0000"/>
        </w:rPr>
        <w:tab/>
      </w:r>
      <w:r w:rsidR="005C219A">
        <w:rPr>
          <w:rFonts w:cstheme="minorHAnsi"/>
          <w:color w:val="FF0000"/>
        </w:rPr>
        <w:t xml:space="preserve">HCA is waiting on the forthcoming NOFO and supplemental guidance regarding the service delivery model and payment model.  It </w:t>
      </w:r>
      <w:proofErr w:type="gramStart"/>
      <w:r w:rsidR="005C219A">
        <w:rPr>
          <w:rFonts w:cstheme="minorHAnsi"/>
          <w:color w:val="FF0000"/>
        </w:rPr>
        <w:t>is anticipated</w:t>
      </w:r>
      <w:proofErr w:type="gramEnd"/>
      <w:r w:rsidR="005C219A">
        <w:rPr>
          <w:rFonts w:cstheme="minorHAnsi"/>
          <w:color w:val="FF0000"/>
        </w:rPr>
        <w:t xml:space="preserve"> that the payment model and arrangements will cover the identified services to the extent possible, within existing Medicaid authority. </w:t>
      </w:r>
      <w:r w:rsidR="001F4733">
        <w:rPr>
          <w:rFonts w:cstheme="minorHAnsi"/>
          <w:b/>
          <w:color w:val="FF0000"/>
        </w:rPr>
        <w:t xml:space="preserve">  </w:t>
      </w:r>
    </w:p>
    <w:p w14:paraId="34B7BA49" w14:textId="77777777" w:rsidR="00B12D4C" w:rsidRPr="00646CF2" w:rsidRDefault="00B12D4C" w:rsidP="00B12D4C">
      <w:pPr>
        <w:ind w:left="1260" w:hanging="1260"/>
        <w:rPr>
          <w:rFonts w:cstheme="minorHAnsi"/>
        </w:rPr>
      </w:pPr>
    </w:p>
    <w:p w14:paraId="0772546C" w14:textId="77777777" w:rsidR="00B12D4C" w:rsidRDefault="00646CF2" w:rsidP="00B12D4C">
      <w:pPr>
        <w:ind w:left="1260" w:hanging="1260"/>
        <w:rPr>
          <w:rFonts w:cstheme="minorHAnsi"/>
        </w:rPr>
      </w:pPr>
      <w:r w:rsidRPr="00646CF2">
        <w:rPr>
          <w:rFonts w:cstheme="minorHAnsi"/>
          <w:b/>
        </w:rPr>
        <w:t>Question 5:</w:t>
      </w:r>
      <w:r>
        <w:rPr>
          <w:rFonts w:cstheme="minorHAnsi"/>
        </w:rPr>
        <w:tab/>
      </w:r>
      <w:r w:rsidRPr="00646CF2">
        <w:rPr>
          <w:rFonts w:cstheme="minorHAnsi"/>
        </w:rPr>
        <w:t>Is there any plan for support during the two-year planning phase that might cover any additional activity related to building partnerships, extending HIEs, or other activities that might be necessary to prepare for the implementation phase?</w:t>
      </w:r>
    </w:p>
    <w:p w14:paraId="481D54CD" w14:textId="16728A1D" w:rsidR="00646CF2" w:rsidRPr="005C219A" w:rsidRDefault="00646CF2" w:rsidP="00B12D4C">
      <w:pPr>
        <w:ind w:left="1260" w:hanging="1260"/>
        <w:rPr>
          <w:rFonts w:cstheme="minorHAnsi"/>
          <w:color w:val="FF0000"/>
        </w:rPr>
      </w:pPr>
      <w:r w:rsidRPr="00646CF2">
        <w:rPr>
          <w:rFonts w:cstheme="minorHAnsi"/>
          <w:b/>
          <w:color w:val="FF0000"/>
        </w:rPr>
        <w:t>Answer 5:</w:t>
      </w:r>
      <w:r w:rsidR="00F243D2">
        <w:rPr>
          <w:rFonts w:cstheme="minorHAnsi"/>
          <w:b/>
          <w:color w:val="FF0000"/>
        </w:rPr>
        <w:tab/>
      </w:r>
      <w:r w:rsidR="005C219A">
        <w:rPr>
          <w:rFonts w:cstheme="minorHAnsi"/>
          <w:color w:val="FF0000"/>
        </w:rPr>
        <w:t>HCA</w:t>
      </w:r>
      <w:r w:rsidR="00353554" w:rsidRPr="005C219A">
        <w:rPr>
          <w:rFonts w:cstheme="minorHAnsi"/>
          <w:color w:val="FF0000"/>
        </w:rPr>
        <w:t xml:space="preserve"> anticipate</w:t>
      </w:r>
      <w:r w:rsidR="005C219A">
        <w:rPr>
          <w:rFonts w:cstheme="minorHAnsi"/>
          <w:color w:val="FF0000"/>
        </w:rPr>
        <w:t>s</w:t>
      </w:r>
      <w:r w:rsidR="00353554" w:rsidRPr="005C219A">
        <w:rPr>
          <w:rFonts w:cstheme="minorHAnsi"/>
          <w:color w:val="FF0000"/>
        </w:rPr>
        <w:t xml:space="preserve"> funds will be available to support these types of activities and investments, although </w:t>
      </w:r>
      <w:r w:rsidR="00F243D2" w:rsidRPr="005C219A">
        <w:rPr>
          <w:rFonts w:cstheme="minorHAnsi"/>
          <w:color w:val="FF0000"/>
        </w:rPr>
        <w:t xml:space="preserve">the </w:t>
      </w:r>
      <w:r w:rsidR="005C219A" w:rsidRPr="005C219A">
        <w:rPr>
          <w:rFonts w:cstheme="minorHAnsi"/>
          <w:color w:val="FF0000"/>
        </w:rPr>
        <w:t xml:space="preserve">timing and nature of financial support </w:t>
      </w:r>
      <w:r w:rsidR="00F243D2" w:rsidRPr="005C219A">
        <w:rPr>
          <w:rFonts w:cstheme="minorHAnsi"/>
          <w:color w:val="FF0000"/>
        </w:rPr>
        <w:t xml:space="preserve">is </w:t>
      </w:r>
      <w:r w:rsidR="005C219A" w:rsidRPr="005C219A">
        <w:rPr>
          <w:rFonts w:cstheme="minorHAnsi"/>
          <w:color w:val="FF0000"/>
        </w:rPr>
        <w:t>to be determined</w:t>
      </w:r>
      <w:r w:rsidR="00F243D2" w:rsidRPr="005C219A">
        <w:rPr>
          <w:rFonts w:cstheme="minorHAnsi"/>
          <w:color w:val="FF0000"/>
        </w:rPr>
        <w:t>.</w:t>
      </w:r>
    </w:p>
    <w:p w14:paraId="284B24B3" w14:textId="77777777" w:rsidR="00646CF2" w:rsidRDefault="00646CF2" w:rsidP="00B12D4C">
      <w:pPr>
        <w:ind w:left="1260" w:hanging="1260"/>
        <w:rPr>
          <w:rFonts w:cstheme="minorHAnsi"/>
          <w:b/>
          <w:color w:val="FF0000"/>
        </w:rPr>
      </w:pPr>
    </w:p>
    <w:p w14:paraId="65CBB3E7" w14:textId="77777777" w:rsidR="00646CF2" w:rsidRDefault="00646CF2" w:rsidP="00B12D4C">
      <w:pPr>
        <w:ind w:left="1260" w:hanging="1260"/>
        <w:rPr>
          <w:rFonts w:cstheme="minorHAnsi"/>
        </w:rPr>
      </w:pPr>
      <w:r w:rsidRPr="00646CF2">
        <w:rPr>
          <w:rFonts w:cstheme="minorHAnsi"/>
          <w:b/>
          <w:color w:val="000000" w:themeColor="text1"/>
        </w:rPr>
        <w:t>Question 6:</w:t>
      </w:r>
      <w:r>
        <w:rPr>
          <w:rFonts w:cstheme="minorHAnsi"/>
          <w:b/>
          <w:color w:val="FF0000"/>
        </w:rPr>
        <w:tab/>
      </w:r>
      <w:r w:rsidRPr="00646CF2">
        <w:rPr>
          <w:rFonts w:cstheme="minorHAnsi"/>
        </w:rPr>
        <w:t xml:space="preserve">A third question regards the possibility of proposing variant models for more urban/suburban areas of the state and for </w:t>
      </w:r>
      <w:proofErr w:type="gramStart"/>
      <w:r w:rsidRPr="00646CF2">
        <w:rPr>
          <w:rFonts w:cstheme="minorHAnsi"/>
        </w:rPr>
        <w:t>more rural areas</w:t>
      </w:r>
      <w:proofErr w:type="gramEnd"/>
      <w:r w:rsidRPr="00646CF2">
        <w:rPr>
          <w:rFonts w:cstheme="minorHAnsi"/>
        </w:rPr>
        <w:t xml:space="preserve">.  Is there any thought being given to having two pairs of </w:t>
      </w:r>
      <w:proofErr w:type="gramStart"/>
      <w:r w:rsidRPr="00646CF2">
        <w:rPr>
          <w:rFonts w:cstheme="minorHAnsi"/>
        </w:rPr>
        <w:t>geographically-defined</w:t>
      </w:r>
      <w:proofErr w:type="gramEnd"/>
      <w:r w:rsidRPr="00646CF2">
        <w:rPr>
          <w:rFonts w:cstheme="minorHAnsi"/>
        </w:rPr>
        <w:t xml:space="preserve"> areas, one that is more rural and one that is more urban?</w:t>
      </w:r>
    </w:p>
    <w:p w14:paraId="52C18CB1" w14:textId="7F0DE04C" w:rsidR="00646CF2" w:rsidRDefault="00646CF2" w:rsidP="00B12D4C">
      <w:pPr>
        <w:ind w:left="1260" w:hanging="1260"/>
        <w:rPr>
          <w:rFonts w:cstheme="minorHAnsi"/>
          <w:b/>
          <w:color w:val="FF0000"/>
        </w:rPr>
      </w:pPr>
      <w:r w:rsidRPr="00646CF2">
        <w:rPr>
          <w:rFonts w:cstheme="minorHAnsi"/>
          <w:b/>
          <w:color w:val="FF0000"/>
        </w:rPr>
        <w:t>Answer 6:</w:t>
      </w:r>
      <w:r w:rsidR="00F243D2">
        <w:rPr>
          <w:rFonts w:cstheme="minorHAnsi"/>
          <w:b/>
          <w:color w:val="FF0000"/>
        </w:rPr>
        <w:tab/>
      </w:r>
      <w:r w:rsidR="005C219A" w:rsidRPr="005C219A">
        <w:rPr>
          <w:rFonts w:cstheme="minorHAnsi"/>
          <w:color w:val="FF0000"/>
        </w:rPr>
        <w:t>HCA will look to the forthcoming NOFO,</w:t>
      </w:r>
      <w:r w:rsidR="00353554" w:rsidRPr="005C219A">
        <w:rPr>
          <w:rFonts w:cstheme="minorHAnsi"/>
          <w:color w:val="FF0000"/>
        </w:rPr>
        <w:t xml:space="preserve"> but current guidance suggests t</w:t>
      </w:r>
      <w:r w:rsidR="00F243D2" w:rsidRPr="005C219A">
        <w:rPr>
          <w:rFonts w:cstheme="minorHAnsi"/>
          <w:color w:val="FF0000"/>
        </w:rPr>
        <w:t>hat only one service area can be identified</w:t>
      </w:r>
      <w:r w:rsidR="00307E88">
        <w:rPr>
          <w:rFonts w:cstheme="minorHAnsi"/>
          <w:color w:val="FF0000"/>
        </w:rPr>
        <w:t xml:space="preserve"> and not both a rural and urban service area</w:t>
      </w:r>
      <w:r w:rsidR="00F243D2" w:rsidRPr="005C219A">
        <w:rPr>
          <w:rFonts w:cstheme="minorHAnsi"/>
          <w:color w:val="FF0000"/>
        </w:rPr>
        <w:t>.</w:t>
      </w:r>
    </w:p>
    <w:p w14:paraId="663F5217" w14:textId="77777777" w:rsidR="00646CF2" w:rsidRDefault="00646CF2" w:rsidP="00B12D4C">
      <w:pPr>
        <w:ind w:left="1260" w:hanging="1260"/>
        <w:rPr>
          <w:rFonts w:cstheme="minorHAnsi"/>
          <w:b/>
          <w:color w:val="FF0000"/>
        </w:rPr>
      </w:pPr>
    </w:p>
    <w:p w14:paraId="263D3CDC" w14:textId="77777777" w:rsidR="00646CF2" w:rsidRDefault="00646CF2" w:rsidP="00646CF2">
      <w:pPr>
        <w:ind w:left="1260" w:hanging="1260"/>
        <w:rPr>
          <w:rFonts w:cstheme="minorHAnsi"/>
          <w:color w:val="000000" w:themeColor="text1"/>
        </w:rPr>
      </w:pPr>
      <w:r w:rsidRPr="00646CF2">
        <w:rPr>
          <w:rFonts w:cstheme="minorHAnsi"/>
          <w:b/>
          <w:color w:val="000000" w:themeColor="text1"/>
        </w:rPr>
        <w:t>Question 7:</w:t>
      </w:r>
      <w:r>
        <w:rPr>
          <w:rFonts w:cstheme="minorHAnsi"/>
          <w:b/>
          <w:color w:val="000000" w:themeColor="text1"/>
        </w:rPr>
        <w:tab/>
      </w:r>
      <w:r w:rsidRPr="00646CF2">
        <w:rPr>
          <w:rFonts w:cstheme="minorHAnsi"/>
          <w:color w:val="000000" w:themeColor="text1"/>
        </w:rPr>
        <w:t xml:space="preserve">Please further delineate the definition of Lead Organization.  Can a lead organization be a large stand-alone pediatric clinic, with a network of contracted partners who link the clinic with community-based child serving organizations?  </w:t>
      </w:r>
      <w:proofErr w:type="gramStart"/>
      <w:r w:rsidRPr="00646CF2">
        <w:rPr>
          <w:rFonts w:cstheme="minorHAnsi"/>
          <w:color w:val="000000" w:themeColor="text1"/>
        </w:rPr>
        <w:t>Or</w:t>
      </w:r>
      <w:proofErr w:type="gramEnd"/>
      <w:r w:rsidRPr="00646CF2">
        <w:rPr>
          <w:rFonts w:cstheme="minorHAnsi"/>
          <w:color w:val="000000" w:themeColor="text1"/>
        </w:rPr>
        <w:t xml:space="preserve"> must the lead organization be the network of partners?</w:t>
      </w:r>
    </w:p>
    <w:p w14:paraId="16548B1B" w14:textId="61254B8B" w:rsidR="00646CF2" w:rsidRPr="005C219A" w:rsidRDefault="00646CF2" w:rsidP="00646CF2">
      <w:pPr>
        <w:ind w:left="1260" w:hanging="1260"/>
        <w:rPr>
          <w:rFonts w:cstheme="minorHAnsi"/>
          <w:color w:val="FF0000"/>
        </w:rPr>
      </w:pPr>
      <w:r w:rsidRPr="00646CF2">
        <w:rPr>
          <w:rFonts w:cstheme="minorHAnsi"/>
          <w:b/>
          <w:color w:val="FF0000"/>
        </w:rPr>
        <w:t>Answer 7:</w:t>
      </w:r>
      <w:r w:rsidR="00F243D2">
        <w:rPr>
          <w:rFonts w:cstheme="minorHAnsi"/>
          <w:b/>
          <w:color w:val="FF0000"/>
        </w:rPr>
        <w:tab/>
      </w:r>
      <w:r w:rsidR="005C219A" w:rsidRPr="005C219A">
        <w:rPr>
          <w:rFonts w:cstheme="minorHAnsi"/>
          <w:color w:val="FF0000"/>
        </w:rPr>
        <w:t>HCA’s current</w:t>
      </w:r>
      <w:r w:rsidR="00F243D2" w:rsidRPr="005C219A">
        <w:rPr>
          <w:rFonts w:cstheme="minorHAnsi"/>
          <w:color w:val="FF0000"/>
        </w:rPr>
        <w:t xml:space="preserve"> understanding is that </w:t>
      </w:r>
      <w:r w:rsidR="005C219A">
        <w:rPr>
          <w:rFonts w:cstheme="minorHAnsi"/>
          <w:color w:val="FF0000"/>
        </w:rPr>
        <w:t xml:space="preserve">the lead organization must have or develop </w:t>
      </w:r>
      <w:r w:rsidR="00F243D2" w:rsidRPr="005C219A">
        <w:rPr>
          <w:rFonts w:cstheme="minorHAnsi"/>
          <w:color w:val="FF0000"/>
        </w:rPr>
        <w:t xml:space="preserve">a network, but that the nature and structure of the network is </w:t>
      </w:r>
      <w:r w:rsidR="00353554" w:rsidRPr="005C219A">
        <w:rPr>
          <w:rFonts w:cstheme="minorHAnsi"/>
          <w:color w:val="FF0000"/>
        </w:rPr>
        <w:t>flexible</w:t>
      </w:r>
      <w:r w:rsidR="00F243D2" w:rsidRPr="005C219A">
        <w:rPr>
          <w:rFonts w:cstheme="minorHAnsi"/>
          <w:color w:val="FF0000"/>
        </w:rPr>
        <w:t>.</w:t>
      </w:r>
    </w:p>
    <w:p w14:paraId="17BD6335" w14:textId="77777777" w:rsidR="00646CF2" w:rsidRDefault="00646CF2" w:rsidP="00646CF2">
      <w:pPr>
        <w:ind w:left="1260" w:hanging="1260"/>
        <w:rPr>
          <w:rFonts w:cstheme="minorHAnsi"/>
        </w:rPr>
      </w:pPr>
      <w:proofErr w:type="gramStart"/>
      <w:r w:rsidRPr="00646CF2">
        <w:rPr>
          <w:rFonts w:cstheme="minorHAnsi"/>
          <w:b/>
        </w:rPr>
        <w:t>Question 8:</w:t>
      </w:r>
      <w:r>
        <w:rPr>
          <w:rFonts w:cstheme="minorHAnsi"/>
          <w:color w:val="FF0000"/>
        </w:rPr>
        <w:tab/>
      </w:r>
      <w:r w:rsidRPr="00646CF2">
        <w:rPr>
          <w:rFonts w:cstheme="minorHAnsi"/>
        </w:rPr>
        <w:t>Please further delineate the definition of Equivalent Geographic Service Area to serve as a comparable service area to support the demonstration?</w:t>
      </w:r>
      <w:proofErr w:type="gramEnd"/>
      <w:r w:rsidRPr="00646CF2">
        <w:rPr>
          <w:rFonts w:cstheme="minorHAnsi"/>
        </w:rPr>
        <w:t xml:space="preserve">  Should the geographic service area be equivalent as far as rural poor health outcomes, or equivalent in size, number of lives covered, or equivalent in lack of workforce, or all of the above?  </w:t>
      </w:r>
      <w:proofErr w:type="gramStart"/>
      <w:r w:rsidRPr="00646CF2">
        <w:rPr>
          <w:rFonts w:cstheme="minorHAnsi"/>
        </w:rPr>
        <w:t>And</w:t>
      </w:r>
      <w:proofErr w:type="gramEnd"/>
      <w:r w:rsidRPr="00646CF2">
        <w:rPr>
          <w:rFonts w:cstheme="minorHAnsi"/>
        </w:rPr>
        <w:t xml:space="preserve"> in the definition, is "equivalent" and "comparable" somewhat the same, or what is the exact definition of comparable?</w:t>
      </w:r>
    </w:p>
    <w:p w14:paraId="5793A5EB" w14:textId="30F8BADA" w:rsidR="00646CF2" w:rsidRPr="005C219A" w:rsidRDefault="00646CF2" w:rsidP="00646CF2">
      <w:pPr>
        <w:ind w:left="1260" w:hanging="1260"/>
        <w:rPr>
          <w:rFonts w:cstheme="minorHAnsi"/>
          <w:color w:val="FF0000"/>
        </w:rPr>
      </w:pPr>
      <w:r>
        <w:rPr>
          <w:rFonts w:cstheme="minorHAnsi"/>
          <w:b/>
          <w:color w:val="FF0000"/>
        </w:rPr>
        <w:t>Answer 8:</w:t>
      </w:r>
      <w:r w:rsidR="00F243D2">
        <w:rPr>
          <w:rFonts w:cstheme="minorHAnsi"/>
          <w:b/>
          <w:color w:val="FF0000"/>
        </w:rPr>
        <w:tab/>
      </w:r>
      <w:r w:rsidR="00F243D2" w:rsidRPr="005C219A">
        <w:rPr>
          <w:rFonts w:cstheme="minorHAnsi"/>
          <w:color w:val="FF0000"/>
        </w:rPr>
        <w:t xml:space="preserve">Equivalent and comparable </w:t>
      </w:r>
      <w:r w:rsidR="005C219A">
        <w:rPr>
          <w:rFonts w:cstheme="minorHAnsi"/>
          <w:color w:val="FF0000"/>
        </w:rPr>
        <w:t>are</w:t>
      </w:r>
      <w:r w:rsidR="00F243D2" w:rsidRPr="005C219A">
        <w:rPr>
          <w:rFonts w:cstheme="minorHAnsi"/>
          <w:color w:val="FF0000"/>
        </w:rPr>
        <w:t xml:space="preserve"> used interchangeably</w:t>
      </w:r>
      <w:r w:rsidR="00353554" w:rsidRPr="005C219A">
        <w:rPr>
          <w:rFonts w:cstheme="minorHAnsi"/>
          <w:color w:val="FF0000"/>
        </w:rPr>
        <w:t xml:space="preserve"> in this context</w:t>
      </w:r>
      <w:r w:rsidR="00F243D2" w:rsidRPr="005C219A">
        <w:rPr>
          <w:rFonts w:cstheme="minorHAnsi"/>
          <w:color w:val="FF0000"/>
        </w:rPr>
        <w:t xml:space="preserve">. </w:t>
      </w:r>
      <w:r w:rsidR="005C219A">
        <w:rPr>
          <w:rFonts w:cstheme="minorHAnsi"/>
          <w:color w:val="FF0000"/>
        </w:rPr>
        <w:t xml:space="preserve">The </w:t>
      </w:r>
      <w:r w:rsidR="00F243D2" w:rsidRPr="005C219A">
        <w:rPr>
          <w:rFonts w:cstheme="minorHAnsi"/>
          <w:color w:val="FF0000"/>
        </w:rPr>
        <w:t xml:space="preserve">NOFO may provide more </w:t>
      </w:r>
      <w:r w:rsidR="005C219A">
        <w:rPr>
          <w:rFonts w:cstheme="minorHAnsi"/>
          <w:color w:val="FF0000"/>
        </w:rPr>
        <w:t>guidance</w:t>
      </w:r>
      <w:r w:rsidR="00F243D2" w:rsidRPr="005C219A">
        <w:rPr>
          <w:rFonts w:cstheme="minorHAnsi"/>
          <w:color w:val="FF0000"/>
        </w:rPr>
        <w:t xml:space="preserve">, but </w:t>
      </w:r>
      <w:r w:rsidR="005C219A">
        <w:rPr>
          <w:rFonts w:cstheme="minorHAnsi"/>
          <w:color w:val="FF0000"/>
        </w:rPr>
        <w:t>HCA’s</w:t>
      </w:r>
      <w:r w:rsidR="00F243D2" w:rsidRPr="005C219A">
        <w:rPr>
          <w:rFonts w:cstheme="minorHAnsi"/>
          <w:color w:val="FF0000"/>
        </w:rPr>
        <w:t xml:space="preserve"> understanding is that </w:t>
      </w:r>
      <w:r w:rsidR="005C219A">
        <w:rPr>
          <w:rFonts w:cstheme="minorHAnsi"/>
          <w:color w:val="FF0000"/>
        </w:rPr>
        <w:t>significant</w:t>
      </w:r>
      <w:r w:rsidR="00F243D2" w:rsidRPr="005C219A">
        <w:rPr>
          <w:rFonts w:cstheme="minorHAnsi"/>
          <w:color w:val="FF0000"/>
        </w:rPr>
        <w:t xml:space="preserve"> comparability will </w:t>
      </w:r>
      <w:r w:rsidR="005C219A">
        <w:rPr>
          <w:rFonts w:cstheme="minorHAnsi"/>
          <w:color w:val="FF0000"/>
        </w:rPr>
        <w:t>benefit the</w:t>
      </w:r>
      <w:r w:rsidR="00F243D2" w:rsidRPr="005C219A">
        <w:rPr>
          <w:rFonts w:cstheme="minorHAnsi"/>
          <w:color w:val="FF0000"/>
        </w:rPr>
        <w:t xml:space="preserve"> application.  Demographics, health outcomes, service and access barriers, geographic size and covered lives are all factors to consider.</w:t>
      </w:r>
    </w:p>
    <w:p w14:paraId="56511504" w14:textId="77777777" w:rsidR="00646CF2" w:rsidRDefault="00646CF2" w:rsidP="00646CF2">
      <w:pPr>
        <w:ind w:left="1260" w:hanging="1260"/>
        <w:rPr>
          <w:rFonts w:cstheme="minorHAnsi"/>
          <w:b/>
          <w:color w:val="FF0000"/>
        </w:rPr>
      </w:pPr>
    </w:p>
    <w:p w14:paraId="7FA022D3" w14:textId="77777777" w:rsidR="00CE209E" w:rsidRDefault="00CE209E" w:rsidP="00CE209E">
      <w:pPr>
        <w:ind w:left="1260" w:hanging="1260"/>
        <w:rPr>
          <w:rFonts w:cstheme="minorHAnsi"/>
        </w:rPr>
      </w:pPr>
      <w:r w:rsidRPr="00CE209E">
        <w:rPr>
          <w:rFonts w:cstheme="minorHAnsi"/>
          <w:b/>
        </w:rPr>
        <w:t>Question 9:</w:t>
      </w:r>
      <w:r>
        <w:rPr>
          <w:rFonts w:cstheme="minorHAnsi"/>
          <w:b/>
        </w:rPr>
        <w:tab/>
      </w:r>
      <w:r w:rsidRPr="00CE209E">
        <w:rPr>
          <w:rFonts w:cstheme="minorHAnsi"/>
        </w:rPr>
        <w:t>Please expand on the meaning of "an example of prior risk management experience."  For example, does that mean, having a Value Based Contract with an MCO, or does it mean a contract with an organization that has prior risk management experience?</w:t>
      </w:r>
    </w:p>
    <w:p w14:paraId="3D64F9D4" w14:textId="5F929745" w:rsidR="00CE209E" w:rsidRPr="005C219A" w:rsidRDefault="00CE209E" w:rsidP="005C219A">
      <w:pPr>
        <w:ind w:left="1260" w:hanging="1260"/>
        <w:rPr>
          <w:rFonts w:cstheme="minorHAnsi"/>
          <w:color w:val="FF0000"/>
        </w:rPr>
      </w:pPr>
      <w:r w:rsidRPr="00CE209E">
        <w:rPr>
          <w:rFonts w:cstheme="minorHAnsi"/>
          <w:b/>
          <w:color w:val="FF0000"/>
        </w:rPr>
        <w:t>Answer 9:</w:t>
      </w:r>
      <w:r w:rsidR="00F243D2">
        <w:rPr>
          <w:rFonts w:cstheme="minorHAnsi"/>
          <w:b/>
          <w:color w:val="FF0000"/>
        </w:rPr>
        <w:tab/>
      </w:r>
      <w:r w:rsidR="00F243D2" w:rsidRPr="005C219A">
        <w:rPr>
          <w:rFonts w:cstheme="minorHAnsi"/>
          <w:color w:val="FF0000"/>
        </w:rPr>
        <w:t>Risk management in this context refers to identifying and mitigating risks, not necessarily financial ri</w:t>
      </w:r>
      <w:r w:rsidR="005C219A">
        <w:rPr>
          <w:rFonts w:cstheme="minorHAnsi"/>
          <w:color w:val="FF0000"/>
        </w:rPr>
        <w:t xml:space="preserve">sk related to VBP arrangements.  “Risk management experience” </w:t>
      </w:r>
      <w:proofErr w:type="gramStart"/>
      <w:r w:rsidR="005C219A">
        <w:rPr>
          <w:rFonts w:cstheme="minorHAnsi"/>
          <w:color w:val="FF0000"/>
        </w:rPr>
        <w:t>was used</w:t>
      </w:r>
      <w:proofErr w:type="gramEnd"/>
      <w:r w:rsidR="005C219A">
        <w:rPr>
          <w:rFonts w:cstheme="minorHAnsi"/>
          <w:color w:val="FF0000"/>
        </w:rPr>
        <w:t xml:space="preserve"> in the context of </w:t>
      </w:r>
      <w:r w:rsidR="005C219A" w:rsidRPr="005C219A">
        <w:rPr>
          <w:rFonts w:cstheme="minorHAnsi"/>
          <w:color w:val="FF0000"/>
        </w:rPr>
        <w:t xml:space="preserve">staffing, managing partnerships and the ability to </w:t>
      </w:r>
      <w:r w:rsidR="005C219A">
        <w:rPr>
          <w:rFonts w:cstheme="minorHAnsi"/>
          <w:color w:val="FF0000"/>
        </w:rPr>
        <w:t>be nimble and course correct as needed.</w:t>
      </w:r>
    </w:p>
    <w:p w14:paraId="65D1198C" w14:textId="77777777" w:rsidR="00CE209E" w:rsidRDefault="00CE209E" w:rsidP="00CE209E">
      <w:pPr>
        <w:ind w:left="1260" w:hanging="1260"/>
        <w:rPr>
          <w:rFonts w:cstheme="minorHAnsi"/>
          <w:b/>
          <w:color w:val="FF0000"/>
        </w:rPr>
      </w:pPr>
    </w:p>
    <w:p w14:paraId="21CE0067" w14:textId="77777777" w:rsidR="00CE209E" w:rsidRDefault="00CE209E" w:rsidP="00CE209E">
      <w:pPr>
        <w:ind w:left="1260" w:hanging="1260"/>
        <w:rPr>
          <w:rFonts w:cstheme="minorHAnsi"/>
        </w:rPr>
      </w:pPr>
      <w:r w:rsidRPr="00CE209E">
        <w:rPr>
          <w:rFonts w:cstheme="minorHAnsi"/>
          <w:b/>
        </w:rPr>
        <w:t>Question 10:</w:t>
      </w:r>
      <w:r>
        <w:rPr>
          <w:rFonts w:cstheme="minorHAnsi"/>
          <w:b/>
        </w:rPr>
        <w:t xml:space="preserve"> </w:t>
      </w:r>
      <w:r w:rsidR="005D1D5C">
        <w:rPr>
          <w:rFonts w:cstheme="minorHAnsi"/>
          <w:b/>
        </w:rPr>
        <w:t xml:space="preserve"> </w:t>
      </w:r>
      <w:r w:rsidRPr="00CE209E">
        <w:rPr>
          <w:rFonts w:cstheme="minorHAnsi"/>
        </w:rPr>
        <w:t>What other organizations have submitted questions related to this RFA?</w:t>
      </w:r>
    </w:p>
    <w:p w14:paraId="76F24283" w14:textId="16C607DC" w:rsidR="00F61BF7" w:rsidRDefault="00CE209E" w:rsidP="00CE209E">
      <w:pPr>
        <w:ind w:left="1260" w:hanging="1260"/>
        <w:rPr>
          <w:rFonts w:cstheme="minorHAnsi"/>
          <w:color w:val="5B9BD5" w:themeColor="accent1"/>
        </w:rPr>
      </w:pPr>
      <w:r w:rsidRPr="00CE209E">
        <w:rPr>
          <w:rFonts w:cstheme="minorHAnsi"/>
          <w:b/>
          <w:color w:val="FF0000"/>
        </w:rPr>
        <w:t>Answer 10:</w:t>
      </w:r>
      <w:r>
        <w:rPr>
          <w:rFonts w:cstheme="minorHAnsi"/>
        </w:rPr>
        <w:tab/>
      </w:r>
      <w:r w:rsidR="001D0E81">
        <w:rPr>
          <w:rFonts w:cstheme="minorHAnsi"/>
          <w:color w:val="FF0000"/>
        </w:rPr>
        <w:t xml:space="preserve">To receive that information you would need to send a public disclosure request to </w:t>
      </w:r>
      <w:r w:rsidR="001D0E81" w:rsidRPr="001D0E81">
        <w:rPr>
          <w:rFonts w:cstheme="minorHAnsi"/>
          <w:color w:val="5B9BD5" w:themeColor="accent1"/>
        </w:rPr>
        <w:t>https://www.hca.wa.gov/about-hca/public-disclosure-requests.</w:t>
      </w:r>
      <w:r w:rsidR="00157D9F" w:rsidRPr="001D0E81">
        <w:rPr>
          <w:rFonts w:cstheme="minorHAnsi"/>
          <w:color w:val="5B9BD5" w:themeColor="accent1"/>
        </w:rPr>
        <w:t xml:space="preserve"> </w:t>
      </w:r>
    </w:p>
    <w:p w14:paraId="4628320D" w14:textId="77777777" w:rsidR="002E14B1" w:rsidRPr="001D0E81" w:rsidRDefault="002E14B1" w:rsidP="00CE209E">
      <w:pPr>
        <w:ind w:left="1260" w:hanging="1260"/>
        <w:rPr>
          <w:rFonts w:cstheme="minorHAnsi"/>
          <w:color w:val="5B9BD5" w:themeColor="accent1"/>
        </w:rPr>
      </w:pPr>
    </w:p>
    <w:p w14:paraId="46EE864A" w14:textId="3279ACE4" w:rsidR="00C8657A" w:rsidRDefault="00CD256C" w:rsidP="00384F0E">
      <w:pPr>
        <w:ind w:left="1260" w:hanging="1260"/>
        <w:rPr>
          <w:rFonts w:cstheme="minorHAnsi"/>
        </w:rPr>
      </w:pPr>
      <w:r w:rsidRPr="00CD256C">
        <w:rPr>
          <w:rFonts w:cstheme="minorHAnsi"/>
          <w:b/>
        </w:rPr>
        <w:t>Question 11:</w:t>
      </w:r>
      <w:r>
        <w:rPr>
          <w:rFonts w:cstheme="minorHAnsi"/>
        </w:rPr>
        <w:tab/>
      </w:r>
      <w:r w:rsidRPr="00384F0E">
        <w:rPr>
          <w:rFonts w:cstheme="minorHAnsi"/>
          <w:i/>
        </w:rPr>
        <w:t xml:space="preserve">(Sections 1.1 and 1.5) </w:t>
      </w:r>
      <w:r w:rsidR="00D90E8F">
        <w:rPr>
          <w:rFonts w:cstheme="minorHAnsi"/>
        </w:rPr>
        <w:t xml:space="preserve"> </w:t>
      </w:r>
      <w:r w:rsidRPr="00384F0E">
        <w:rPr>
          <w:rFonts w:cstheme="minorHAnsi"/>
          <w:i/>
        </w:rPr>
        <w:t xml:space="preserve"> </w:t>
      </w:r>
      <w:r w:rsidR="00157D9F" w:rsidRPr="00CD256C">
        <w:rPr>
          <w:rFonts w:cstheme="minorHAnsi"/>
        </w:rPr>
        <w:t>In Section 1.1, the RFA indicates that CMS will release the Notice of Funding Opportunity (NOFO) in Q4 2018, which is consistent with the CMS website. However, Section 1.5 indicates that CMS will release the NOFO in Q2 of 2019. If possible, please clarify the intended release date of the NOFO.</w:t>
      </w:r>
    </w:p>
    <w:p w14:paraId="47A29189" w14:textId="4FAD7932" w:rsidR="00CD256C" w:rsidRPr="00CD256C" w:rsidRDefault="00CD256C" w:rsidP="00CD256C">
      <w:pPr>
        <w:ind w:left="1260" w:hanging="1260"/>
        <w:rPr>
          <w:rFonts w:cstheme="minorHAnsi"/>
          <w:color w:val="FF0000"/>
        </w:rPr>
      </w:pPr>
      <w:r w:rsidRPr="00CD256C">
        <w:rPr>
          <w:rFonts w:cstheme="minorHAnsi"/>
          <w:b/>
          <w:color w:val="FF0000"/>
        </w:rPr>
        <w:t>Answer 11:</w:t>
      </w:r>
      <w:r w:rsidR="00F243D2">
        <w:rPr>
          <w:rFonts w:cstheme="minorHAnsi"/>
          <w:b/>
          <w:color w:val="FF0000"/>
        </w:rPr>
        <w:tab/>
      </w:r>
      <w:r w:rsidR="00C90010" w:rsidRPr="00CE7FE8">
        <w:rPr>
          <w:rFonts w:cstheme="minorHAnsi"/>
          <w:color w:val="FF0000"/>
        </w:rPr>
        <w:t>Q4 2018 is the anticipated NOFO release.  The references to Q2 of 2019 relates to the anticipated award and launch of the planning phase.</w:t>
      </w:r>
      <w:r w:rsidR="00C90010">
        <w:rPr>
          <w:rFonts w:cstheme="minorHAnsi"/>
          <w:b/>
          <w:color w:val="FF0000"/>
        </w:rPr>
        <w:t xml:space="preserve"> </w:t>
      </w:r>
    </w:p>
    <w:p w14:paraId="42B607A4" w14:textId="77777777" w:rsidR="00CE209E" w:rsidRDefault="00CE209E" w:rsidP="00CE209E">
      <w:pPr>
        <w:ind w:left="1260" w:hanging="1260"/>
        <w:rPr>
          <w:rFonts w:cstheme="minorHAnsi"/>
        </w:rPr>
      </w:pPr>
    </w:p>
    <w:p w14:paraId="5C4FF45F" w14:textId="77777777" w:rsidR="00C62F0F" w:rsidRDefault="00CD256C" w:rsidP="00CD256C">
      <w:pPr>
        <w:ind w:left="1260" w:hanging="1260"/>
        <w:rPr>
          <w:rFonts w:cstheme="minorHAnsi"/>
          <w:b/>
        </w:rPr>
      </w:pPr>
      <w:r w:rsidRPr="00CD256C">
        <w:rPr>
          <w:rFonts w:cstheme="minorHAnsi"/>
          <w:b/>
        </w:rPr>
        <w:t>Question 12:</w:t>
      </w:r>
      <w:r>
        <w:rPr>
          <w:rFonts w:cstheme="minorHAnsi"/>
          <w:b/>
        </w:rPr>
        <w:tab/>
      </w:r>
      <w:r w:rsidR="00DE7CB2" w:rsidRPr="004C62F7">
        <w:rPr>
          <w:rFonts w:cstheme="minorHAnsi"/>
          <w:i/>
        </w:rPr>
        <w:t>(Section 1.1)</w:t>
      </w:r>
      <w:r w:rsidR="00DE7CB2">
        <w:rPr>
          <w:rFonts w:cstheme="minorHAnsi"/>
          <w:b/>
        </w:rPr>
        <w:t xml:space="preserve">  </w:t>
      </w:r>
      <w:r w:rsidR="00D90E8F">
        <w:rPr>
          <w:rFonts w:cstheme="minorHAnsi"/>
          <w:b/>
        </w:rPr>
        <w:t xml:space="preserve"> </w:t>
      </w:r>
      <w:r w:rsidR="00157D9F" w:rsidRPr="00CD256C">
        <w:rPr>
          <w:rFonts w:cstheme="minorHAnsi"/>
        </w:rPr>
        <w:t xml:space="preserve">The </w:t>
      </w:r>
      <w:proofErr w:type="spellStart"/>
      <w:r w:rsidR="00157D9F" w:rsidRPr="00CD256C">
        <w:rPr>
          <w:rFonts w:cstheme="minorHAnsi"/>
        </w:rPr>
        <w:t>InCK</w:t>
      </w:r>
      <w:proofErr w:type="spellEnd"/>
      <w:r w:rsidR="00157D9F" w:rsidRPr="00CD256C">
        <w:rPr>
          <w:rFonts w:cstheme="minorHAnsi"/>
        </w:rPr>
        <w:t xml:space="preserve"> program description from CMS appears to suggest that the Lead Organization will have responsibility to coordinate the full spectrum of healthcare services afforded to the identified sub-population.  Under IMC, MCOs currently hold that responsibility.</w:t>
      </w:r>
      <w:r w:rsidR="00157D9F" w:rsidRPr="00CD256C">
        <w:rPr>
          <w:rFonts w:cstheme="minorHAnsi"/>
          <w:b/>
        </w:rPr>
        <w:t xml:space="preserve">  </w:t>
      </w:r>
    </w:p>
    <w:p w14:paraId="070041CB" w14:textId="14409993" w:rsidR="00F4450C" w:rsidRPr="00BD68E9" w:rsidRDefault="00F4450C" w:rsidP="00BD68E9">
      <w:pPr>
        <w:pStyle w:val="ListParagraph"/>
        <w:spacing w:after="0" w:line="240" w:lineRule="auto"/>
        <w:ind w:left="2700" w:hanging="1440"/>
        <w:rPr>
          <w:rFonts w:cstheme="minorHAnsi"/>
          <w:b/>
        </w:rPr>
      </w:pPr>
      <w:r w:rsidRPr="00F4450C">
        <w:rPr>
          <w:rFonts w:cstheme="minorHAnsi"/>
          <w:b/>
        </w:rPr>
        <w:t xml:space="preserve">Question 12 a. </w:t>
      </w:r>
      <w:r w:rsidR="00BD68E9">
        <w:rPr>
          <w:rFonts w:cstheme="minorHAnsi"/>
          <w:b/>
        </w:rPr>
        <w:t xml:space="preserve"> </w:t>
      </w:r>
      <w:r w:rsidRPr="00BD68E9">
        <w:rPr>
          <w:rFonts w:cstheme="minorHAnsi"/>
        </w:rPr>
        <w:t xml:space="preserve">How does HCA envision the </w:t>
      </w:r>
      <w:proofErr w:type="spellStart"/>
      <w:r w:rsidRPr="00BD68E9">
        <w:rPr>
          <w:rFonts w:cstheme="minorHAnsi"/>
        </w:rPr>
        <w:t>InCK</w:t>
      </w:r>
      <w:proofErr w:type="spellEnd"/>
      <w:r w:rsidRPr="00BD68E9">
        <w:rPr>
          <w:rFonts w:cstheme="minorHAnsi"/>
        </w:rPr>
        <w:t xml:space="preserve"> Lead Organization’s care coordination responsibilities interacting with the MCOs’ care coordination responsibilities?</w:t>
      </w:r>
    </w:p>
    <w:p w14:paraId="0F83D420" w14:textId="542B5C8A" w:rsidR="00F4450C" w:rsidRDefault="00F4450C" w:rsidP="00BD68E9">
      <w:pPr>
        <w:pStyle w:val="ListParagraph"/>
        <w:spacing w:after="0" w:line="240" w:lineRule="auto"/>
        <w:ind w:left="2700" w:hanging="1440"/>
        <w:rPr>
          <w:rFonts w:cstheme="minorHAnsi"/>
          <w:color w:val="FF0000"/>
        </w:rPr>
      </w:pPr>
      <w:r w:rsidRPr="00F4450C">
        <w:rPr>
          <w:rFonts w:cstheme="minorHAnsi"/>
          <w:b/>
          <w:color w:val="FF0000"/>
        </w:rPr>
        <w:t>Answer 12 a.</w:t>
      </w:r>
      <w:r w:rsidR="00C90010">
        <w:rPr>
          <w:rFonts w:cstheme="minorHAnsi"/>
          <w:b/>
          <w:color w:val="FF0000"/>
        </w:rPr>
        <w:t xml:space="preserve">  </w:t>
      </w:r>
      <w:r w:rsidR="00BD68E9">
        <w:rPr>
          <w:rFonts w:cstheme="minorHAnsi"/>
          <w:b/>
          <w:color w:val="FF0000"/>
        </w:rPr>
        <w:t xml:space="preserve">   </w:t>
      </w:r>
      <w:r w:rsidR="009A1F9C">
        <w:rPr>
          <w:rFonts w:cstheme="minorHAnsi"/>
          <w:color w:val="FF0000"/>
        </w:rPr>
        <w:t>HCA anticipates alignment, but the nature of this alignment and partnership will depend on the development of the service delivery model and payment model.  This will be an ongoing discussion between HCA and the partners in this effort.</w:t>
      </w:r>
    </w:p>
    <w:p w14:paraId="5E4251B3" w14:textId="77777777" w:rsidR="009A1F9C" w:rsidRPr="00CE7FE8" w:rsidRDefault="009A1F9C" w:rsidP="00BD68E9">
      <w:pPr>
        <w:pStyle w:val="ListParagraph"/>
        <w:spacing w:after="0" w:line="240" w:lineRule="auto"/>
        <w:ind w:left="1260"/>
        <w:rPr>
          <w:rFonts w:cstheme="minorHAnsi"/>
        </w:rPr>
      </w:pPr>
    </w:p>
    <w:p w14:paraId="37583D89" w14:textId="214C911B" w:rsidR="00F4450C" w:rsidRPr="00BD68E9" w:rsidRDefault="00F4450C" w:rsidP="00BD68E9">
      <w:pPr>
        <w:pStyle w:val="ListParagraph"/>
        <w:spacing w:after="0" w:line="240" w:lineRule="auto"/>
        <w:ind w:left="2700" w:hanging="1440"/>
        <w:rPr>
          <w:rFonts w:cstheme="minorHAnsi"/>
          <w:b/>
        </w:rPr>
      </w:pPr>
      <w:r w:rsidRPr="00F4450C">
        <w:rPr>
          <w:rFonts w:cstheme="minorHAnsi"/>
          <w:b/>
        </w:rPr>
        <w:t>Question 12 b.</w:t>
      </w:r>
      <w:r w:rsidR="00BD68E9">
        <w:rPr>
          <w:rFonts w:cstheme="minorHAnsi"/>
          <w:b/>
        </w:rPr>
        <w:t xml:space="preserve">  </w:t>
      </w:r>
      <w:r w:rsidRPr="00BD68E9">
        <w:rPr>
          <w:rFonts w:cstheme="minorHAnsi"/>
        </w:rPr>
        <w:t xml:space="preserve">Is there any overlap of financial responsibilities between the </w:t>
      </w:r>
      <w:proofErr w:type="spellStart"/>
      <w:r w:rsidRPr="00BD68E9">
        <w:rPr>
          <w:rFonts w:cstheme="minorHAnsi"/>
        </w:rPr>
        <w:t>InCK</w:t>
      </w:r>
      <w:proofErr w:type="spellEnd"/>
      <w:r w:rsidRPr="00BD68E9">
        <w:rPr>
          <w:rFonts w:cstheme="minorHAnsi"/>
        </w:rPr>
        <w:t xml:space="preserve"> Lead Organization and the IMC MCOs? </w:t>
      </w:r>
    </w:p>
    <w:p w14:paraId="50A417AB" w14:textId="3BEBB075" w:rsidR="009A1F9C" w:rsidRPr="005C219A" w:rsidRDefault="00F4450C" w:rsidP="00BD68E9">
      <w:pPr>
        <w:spacing w:after="0" w:line="240" w:lineRule="auto"/>
        <w:ind w:left="2700" w:hanging="1440"/>
        <w:rPr>
          <w:rFonts w:cstheme="minorHAnsi"/>
          <w:color w:val="FF0000"/>
        </w:rPr>
      </w:pPr>
      <w:r w:rsidRPr="00F4450C">
        <w:rPr>
          <w:rFonts w:cstheme="minorHAnsi"/>
          <w:b/>
          <w:color w:val="FF0000"/>
        </w:rPr>
        <w:t>Answer 12 b. </w:t>
      </w:r>
      <w:r w:rsidR="00BD68E9">
        <w:rPr>
          <w:rFonts w:cstheme="minorHAnsi"/>
          <w:b/>
          <w:color w:val="FF0000"/>
        </w:rPr>
        <w:t xml:space="preserve">    </w:t>
      </w:r>
      <w:r w:rsidR="009A1F9C">
        <w:rPr>
          <w:rFonts w:cstheme="minorHAnsi"/>
          <w:color w:val="FF0000"/>
        </w:rPr>
        <w:t xml:space="preserve">HCA is waiting on the forthcoming NOFO and supplemental guidance regarding the service delivery model and payment model.  It </w:t>
      </w:r>
      <w:proofErr w:type="gramStart"/>
      <w:r w:rsidR="009A1F9C">
        <w:rPr>
          <w:rFonts w:cstheme="minorHAnsi"/>
          <w:color w:val="FF0000"/>
        </w:rPr>
        <w:t>is anticipated</w:t>
      </w:r>
      <w:proofErr w:type="gramEnd"/>
      <w:r w:rsidR="009A1F9C">
        <w:rPr>
          <w:rFonts w:cstheme="minorHAnsi"/>
          <w:color w:val="FF0000"/>
        </w:rPr>
        <w:t xml:space="preserve"> that the payment model will align with the Integrated Managed Care system and related transformation efforts where possible.</w:t>
      </w:r>
      <w:r w:rsidR="009A1F9C" w:rsidRPr="005C219A">
        <w:rPr>
          <w:rFonts w:cstheme="minorHAnsi"/>
          <w:color w:val="FF0000"/>
        </w:rPr>
        <w:t xml:space="preserve"> </w:t>
      </w:r>
    </w:p>
    <w:p w14:paraId="4F3D8AD5" w14:textId="60845B01" w:rsidR="00F4450C" w:rsidRPr="00F4450C" w:rsidRDefault="00F4450C" w:rsidP="00BD68E9">
      <w:pPr>
        <w:pStyle w:val="ListParagraph"/>
        <w:spacing w:after="0" w:line="240" w:lineRule="auto"/>
        <w:ind w:left="1260"/>
        <w:rPr>
          <w:rFonts w:cstheme="minorHAnsi"/>
          <w:b/>
          <w:color w:val="FF0000"/>
        </w:rPr>
      </w:pPr>
    </w:p>
    <w:p w14:paraId="0703F3F6" w14:textId="77777777" w:rsidR="00F4450C" w:rsidRPr="00F4450C" w:rsidRDefault="00F4450C" w:rsidP="00BD68E9">
      <w:pPr>
        <w:pStyle w:val="ListParagraph"/>
        <w:spacing w:after="0" w:line="240" w:lineRule="auto"/>
        <w:ind w:left="1260"/>
        <w:rPr>
          <w:rFonts w:cstheme="minorHAnsi"/>
        </w:rPr>
      </w:pPr>
    </w:p>
    <w:p w14:paraId="0F23C142" w14:textId="1F5EF6E3" w:rsidR="00F4450C" w:rsidRPr="00E52B53" w:rsidRDefault="00F4450C" w:rsidP="00E52B53">
      <w:pPr>
        <w:pStyle w:val="ListParagraph"/>
        <w:spacing w:beforeLines="60" w:before="144" w:afterLines="60" w:after="144"/>
        <w:ind w:left="2700" w:hanging="1440"/>
        <w:rPr>
          <w:rFonts w:cstheme="minorHAnsi"/>
          <w:b/>
        </w:rPr>
      </w:pPr>
      <w:r w:rsidRPr="00F4450C">
        <w:rPr>
          <w:rFonts w:cstheme="minorHAnsi"/>
          <w:b/>
        </w:rPr>
        <w:t>Question 12 c.</w:t>
      </w:r>
      <w:r w:rsidR="00E52B53">
        <w:rPr>
          <w:rFonts w:cstheme="minorHAnsi"/>
          <w:b/>
        </w:rPr>
        <w:t xml:space="preserve">  </w:t>
      </w:r>
      <w:proofErr w:type="gramStart"/>
      <w:r w:rsidRPr="00E52B53">
        <w:rPr>
          <w:rFonts w:cstheme="minorHAnsi"/>
        </w:rPr>
        <w:t>Will the identified sub-population be carved</w:t>
      </w:r>
      <w:proofErr w:type="gramEnd"/>
      <w:r w:rsidRPr="00E52B53">
        <w:rPr>
          <w:rFonts w:cstheme="minorHAnsi"/>
        </w:rPr>
        <w:t xml:space="preserve"> out of all managed care products (Apple Health, IMC, CHIP, Foster Care) for the duration of the program?</w:t>
      </w:r>
    </w:p>
    <w:p w14:paraId="69B9C229" w14:textId="60086336" w:rsidR="00F4450C" w:rsidRDefault="00F4450C" w:rsidP="00E52B53">
      <w:pPr>
        <w:pStyle w:val="ListParagraph"/>
        <w:spacing w:beforeLines="60" w:before="144" w:afterLines="60" w:after="144"/>
        <w:ind w:left="2700" w:hanging="1440"/>
        <w:rPr>
          <w:rFonts w:cstheme="minorHAnsi"/>
          <w:b/>
          <w:color w:val="FF0000"/>
        </w:rPr>
      </w:pPr>
      <w:r w:rsidRPr="00F4450C">
        <w:rPr>
          <w:rFonts w:cstheme="minorHAnsi"/>
          <w:b/>
          <w:color w:val="FF0000"/>
        </w:rPr>
        <w:t xml:space="preserve">Answer 12 c. </w:t>
      </w:r>
      <w:r w:rsidR="00E52B53">
        <w:rPr>
          <w:rFonts w:cstheme="minorHAnsi"/>
          <w:b/>
          <w:color w:val="FF0000"/>
        </w:rPr>
        <w:t xml:space="preserve">    </w:t>
      </w:r>
      <w:r w:rsidR="009A1F9C">
        <w:rPr>
          <w:rFonts w:cstheme="minorHAnsi"/>
          <w:color w:val="FF0000"/>
        </w:rPr>
        <w:t xml:space="preserve">HCA is waiting on the forthcoming NOFO and supplemental guidance regarding the service delivery model and payment model.  It </w:t>
      </w:r>
      <w:proofErr w:type="gramStart"/>
      <w:r w:rsidR="009A1F9C">
        <w:rPr>
          <w:rFonts w:cstheme="minorHAnsi"/>
          <w:color w:val="FF0000"/>
        </w:rPr>
        <w:t>is anticipated</w:t>
      </w:r>
      <w:proofErr w:type="gramEnd"/>
      <w:r w:rsidR="009A1F9C">
        <w:rPr>
          <w:rFonts w:cstheme="minorHAnsi"/>
          <w:color w:val="FF0000"/>
        </w:rPr>
        <w:t xml:space="preserve"> that the payment model will align with the Integrated Managed Care system and related transformation efforts where possible.</w:t>
      </w:r>
    </w:p>
    <w:p w14:paraId="02F1B6FA" w14:textId="2320E4CB" w:rsidR="00DE7CB2" w:rsidRDefault="00DE7CB2" w:rsidP="00635409">
      <w:pPr>
        <w:spacing w:after="0" w:line="240" w:lineRule="auto"/>
        <w:ind w:firstLine="1260"/>
        <w:rPr>
          <w:color w:val="000000"/>
        </w:rPr>
      </w:pPr>
      <w:r w:rsidRPr="00DE7CB2">
        <w:rPr>
          <w:rFonts w:cstheme="minorHAnsi"/>
          <w:b/>
        </w:rPr>
        <w:t>Question 13:</w:t>
      </w:r>
      <w:r w:rsidR="000352FE">
        <w:rPr>
          <w:rFonts w:cstheme="minorHAnsi"/>
          <w:b/>
        </w:rPr>
        <w:t xml:space="preserve">     </w:t>
      </w:r>
      <w:r w:rsidR="004C62F7" w:rsidRPr="004C62F7">
        <w:rPr>
          <w:rFonts w:cstheme="minorHAnsi"/>
          <w:i/>
        </w:rPr>
        <w:t>(Section 1.3)</w:t>
      </w:r>
      <w:r w:rsidR="004C62F7">
        <w:rPr>
          <w:rFonts w:cstheme="minorHAnsi"/>
          <w:b/>
        </w:rPr>
        <w:t xml:space="preserve">  </w:t>
      </w:r>
      <w:r w:rsidR="003C5219">
        <w:rPr>
          <w:rFonts w:cstheme="minorHAnsi"/>
          <w:b/>
        </w:rPr>
        <w:t xml:space="preserve"> </w:t>
      </w:r>
      <w:r w:rsidR="000D1955">
        <w:rPr>
          <w:color w:val="000000"/>
        </w:rPr>
        <w:t xml:space="preserve">Can a provider- network entity be a Lead </w:t>
      </w:r>
      <w:proofErr w:type="gramStart"/>
      <w:r w:rsidR="000D1955">
        <w:rPr>
          <w:color w:val="000000"/>
        </w:rPr>
        <w:t>Organization?</w:t>
      </w:r>
      <w:proofErr w:type="gramEnd"/>
    </w:p>
    <w:p w14:paraId="0E0541EE" w14:textId="438CE325" w:rsidR="000D1955" w:rsidRPr="009A1F9C" w:rsidRDefault="000D1955" w:rsidP="00635409">
      <w:pPr>
        <w:spacing w:after="0" w:line="240" w:lineRule="auto"/>
        <w:ind w:left="2700" w:hanging="1440"/>
        <w:rPr>
          <w:b/>
          <w:color w:val="FF0000"/>
        </w:rPr>
      </w:pPr>
      <w:r w:rsidRPr="000D1955">
        <w:rPr>
          <w:b/>
          <w:color w:val="FF0000"/>
        </w:rPr>
        <w:t>Answer 13:</w:t>
      </w:r>
      <w:r w:rsidR="000352FE">
        <w:rPr>
          <w:b/>
          <w:color w:val="FF0000"/>
        </w:rPr>
        <w:t xml:space="preserve">       </w:t>
      </w:r>
      <w:r w:rsidR="00C90010" w:rsidRPr="009A1F9C">
        <w:rPr>
          <w:color w:val="FF0000"/>
        </w:rPr>
        <w:t>Yes</w:t>
      </w:r>
      <w:r w:rsidR="009A1F9C" w:rsidRPr="009A1F9C">
        <w:rPr>
          <w:color w:val="FF0000"/>
        </w:rPr>
        <w:t>,</w:t>
      </w:r>
      <w:r w:rsidR="009A1F9C">
        <w:rPr>
          <w:color w:val="FF0000"/>
        </w:rPr>
        <w:t xml:space="preserve"> if all other requirements </w:t>
      </w:r>
      <w:proofErr w:type="gramStart"/>
      <w:r w:rsidR="009A1F9C">
        <w:rPr>
          <w:color w:val="FF0000"/>
        </w:rPr>
        <w:t>are met</w:t>
      </w:r>
      <w:proofErr w:type="gramEnd"/>
      <w:r w:rsidR="009A1F9C">
        <w:rPr>
          <w:color w:val="FF0000"/>
        </w:rPr>
        <w:t>.  T</w:t>
      </w:r>
      <w:r w:rsidR="009A1F9C" w:rsidRPr="009A1F9C">
        <w:rPr>
          <w:color w:val="FF0000"/>
        </w:rPr>
        <w:t>he RFA defines “lead organization” as a local HIPAA covered entity accountable for population health outcomes for the children covered by Medicaid and CHIP within the defined service area.  Lead organizations must collaborate with other organizations to establish appropriate integration and care coordination activities, services, and protocols.  The network of partners will also include organizations that address social needs, and the specific partners will depend on the service area and needs of the population.</w:t>
      </w:r>
    </w:p>
    <w:p w14:paraId="7ABF0846" w14:textId="77777777" w:rsidR="004C62F7" w:rsidRDefault="004C62F7" w:rsidP="00DE7CB2">
      <w:pPr>
        <w:spacing w:beforeLines="60" w:before="144" w:afterLines="60" w:after="144"/>
        <w:rPr>
          <w:b/>
          <w:color w:val="FF0000"/>
        </w:rPr>
      </w:pPr>
    </w:p>
    <w:p w14:paraId="0DAD5AD9" w14:textId="77777777" w:rsidR="004C62F7" w:rsidRDefault="004C62F7" w:rsidP="00914542">
      <w:pPr>
        <w:spacing w:beforeLines="60" w:before="144" w:afterLines="60" w:after="144"/>
        <w:ind w:left="1440" w:hanging="1440"/>
        <w:rPr>
          <w:color w:val="000000"/>
        </w:rPr>
      </w:pPr>
      <w:r w:rsidRPr="004C62F7">
        <w:rPr>
          <w:b/>
        </w:rPr>
        <w:t xml:space="preserve">Question 14: </w:t>
      </w:r>
      <w:r w:rsidR="00914542">
        <w:rPr>
          <w:b/>
        </w:rPr>
        <w:tab/>
      </w:r>
      <w:r w:rsidR="00914542" w:rsidRPr="00016911">
        <w:rPr>
          <w:i/>
        </w:rPr>
        <w:t>(</w:t>
      </w:r>
      <w:r w:rsidR="00914542" w:rsidRPr="00016911">
        <w:rPr>
          <w:i/>
          <w:color w:val="000000"/>
        </w:rPr>
        <w:t>Section 2.2)</w:t>
      </w:r>
      <w:r w:rsidR="00914542" w:rsidRPr="00016911">
        <w:rPr>
          <w:color w:val="000000"/>
        </w:rPr>
        <w:t xml:space="preserve">  </w:t>
      </w:r>
      <w:r w:rsidR="003C5219" w:rsidRPr="00016911">
        <w:rPr>
          <w:color w:val="000000"/>
        </w:rPr>
        <w:t xml:space="preserve"> </w:t>
      </w:r>
      <w:proofErr w:type="gramStart"/>
      <w:r w:rsidR="00914542" w:rsidRPr="00016911">
        <w:rPr>
          <w:color w:val="000000"/>
        </w:rPr>
        <w:t>The</w:t>
      </w:r>
      <w:proofErr w:type="gramEnd"/>
      <w:r w:rsidR="00914542" w:rsidRPr="00016911">
        <w:rPr>
          <w:color w:val="000000"/>
        </w:rPr>
        <w:t xml:space="preserve"> submission deadline for the RFA is Thursday, November 22 at 2:00</w:t>
      </w:r>
      <w:r w:rsidR="00016911">
        <w:rPr>
          <w:color w:val="000000"/>
        </w:rPr>
        <w:t xml:space="preserve"> </w:t>
      </w:r>
      <w:r w:rsidR="00914542" w:rsidRPr="00016911">
        <w:rPr>
          <w:color w:val="000000"/>
        </w:rPr>
        <w:t>pm.  As November 22 and 23 are holidays for State agencies, please confirm that this is the due date for the RFA response.</w:t>
      </w:r>
    </w:p>
    <w:p w14:paraId="4E82DC38" w14:textId="4196A855" w:rsidR="00914542" w:rsidRDefault="00914542" w:rsidP="00914542">
      <w:pPr>
        <w:spacing w:beforeLines="60" w:before="144" w:afterLines="60" w:after="144"/>
        <w:ind w:left="1440" w:hanging="1440"/>
        <w:rPr>
          <w:b/>
          <w:color w:val="FF0000"/>
        </w:rPr>
      </w:pPr>
      <w:r w:rsidRPr="00914542">
        <w:rPr>
          <w:b/>
          <w:color w:val="FF0000"/>
        </w:rPr>
        <w:t>Answer 14:</w:t>
      </w:r>
      <w:r>
        <w:rPr>
          <w:b/>
          <w:color w:val="FF0000"/>
        </w:rPr>
        <w:tab/>
      </w:r>
      <w:r w:rsidR="00C979C7" w:rsidRPr="00C979C7">
        <w:rPr>
          <w:color w:val="FF0000"/>
        </w:rPr>
        <w:t>Please see the revised RFA timeline in this Amendment #1.</w:t>
      </w:r>
    </w:p>
    <w:p w14:paraId="01D61476" w14:textId="77777777" w:rsidR="00B42B53" w:rsidRDefault="00B42B53" w:rsidP="00914542">
      <w:pPr>
        <w:spacing w:beforeLines="60" w:before="144" w:afterLines="60" w:after="144"/>
        <w:ind w:left="1440" w:hanging="1440"/>
        <w:rPr>
          <w:b/>
          <w:color w:val="FF0000"/>
        </w:rPr>
      </w:pPr>
    </w:p>
    <w:p w14:paraId="0CDBA107" w14:textId="77777777" w:rsidR="00914542" w:rsidRDefault="00914542" w:rsidP="00914542">
      <w:pPr>
        <w:spacing w:beforeLines="60" w:before="144" w:afterLines="60" w:after="144"/>
        <w:ind w:left="1440" w:hanging="1440"/>
        <w:rPr>
          <w:color w:val="000000"/>
        </w:rPr>
      </w:pPr>
      <w:r w:rsidRPr="00914542">
        <w:rPr>
          <w:b/>
        </w:rPr>
        <w:t>Question 15:</w:t>
      </w:r>
      <w:r>
        <w:rPr>
          <w:b/>
        </w:rPr>
        <w:tab/>
      </w:r>
      <w:r w:rsidRPr="00914542">
        <w:rPr>
          <w:i/>
        </w:rPr>
        <w:t>(</w:t>
      </w:r>
      <w:r w:rsidRPr="00914542">
        <w:rPr>
          <w:i/>
          <w:color w:val="000000"/>
        </w:rPr>
        <w:t>Section 3.1.1.4)</w:t>
      </w:r>
      <w:r>
        <w:rPr>
          <w:color w:val="000000"/>
        </w:rPr>
        <w:t xml:space="preserve">  </w:t>
      </w:r>
      <w:r w:rsidR="003C5219">
        <w:rPr>
          <w:color w:val="000000"/>
        </w:rPr>
        <w:t xml:space="preserve"> </w:t>
      </w:r>
      <w:proofErr w:type="gramStart"/>
      <w:r>
        <w:rPr>
          <w:color w:val="000000"/>
        </w:rPr>
        <w:t>This</w:t>
      </w:r>
      <w:proofErr w:type="gramEnd"/>
      <w:r>
        <w:rPr>
          <w:color w:val="000000"/>
        </w:rPr>
        <w:t xml:space="preserve"> section does not indicate a look back period for their employment with the state. Please clarify the lookback period for the information requested in Section 3.1.1.4</w:t>
      </w:r>
    </w:p>
    <w:p w14:paraId="60BD38D3" w14:textId="669AD4AD" w:rsidR="00914542" w:rsidRPr="00914542" w:rsidRDefault="00914542" w:rsidP="00914542">
      <w:pPr>
        <w:spacing w:beforeLines="60" w:before="144" w:afterLines="60" w:after="144"/>
        <w:ind w:left="1440" w:hanging="1440"/>
        <w:rPr>
          <w:rFonts w:cstheme="minorHAnsi"/>
          <w:b/>
          <w:color w:val="FF0000"/>
        </w:rPr>
      </w:pPr>
      <w:r w:rsidRPr="00914542">
        <w:rPr>
          <w:b/>
          <w:color w:val="FF0000"/>
        </w:rPr>
        <w:t>Answer 15:</w:t>
      </w:r>
      <w:r w:rsidR="00CD23C3">
        <w:rPr>
          <w:b/>
          <w:color w:val="FF0000"/>
        </w:rPr>
        <w:tab/>
      </w:r>
      <w:r w:rsidR="00CD23C3" w:rsidRPr="00815D24">
        <w:rPr>
          <w:color w:val="FF0000"/>
        </w:rPr>
        <w:t xml:space="preserve">Specific restrictions apply to contracting with current or former state employees pursuant to chapter </w:t>
      </w:r>
      <w:hyperlink r:id="rId9" w:history="1">
        <w:r w:rsidR="00CD23C3" w:rsidRPr="004C0B44">
          <w:rPr>
            <w:rStyle w:val="Hyperlink"/>
          </w:rPr>
          <w:t>RCW 42.52.080</w:t>
        </w:r>
      </w:hyperlink>
      <w:r w:rsidR="00CD23C3">
        <w:t>.</w:t>
      </w:r>
    </w:p>
    <w:p w14:paraId="043C1936" w14:textId="77777777" w:rsidR="00B42B53" w:rsidRDefault="00B42B53" w:rsidP="00F4450C">
      <w:pPr>
        <w:pStyle w:val="ListParagraph"/>
        <w:rPr>
          <w:rFonts w:ascii="Arial" w:hAnsi="Arial" w:cs="Arial"/>
          <w:sz w:val="20"/>
          <w:szCs w:val="20"/>
        </w:rPr>
      </w:pPr>
    </w:p>
    <w:p w14:paraId="109FE498" w14:textId="77777777" w:rsidR="00914542" w:rsidRDefault="00914542" w:rsidP="00914542">
      <w:pPr>
        <w:ind w:left="1440" w:hanging="1440"/>
        <w:rPr>
          <w:color w:val="000000"/>
        </w:rPr>
      </w:pPr>
      <w:r w:rsidRPr="00914542">
        <w:rPr>
          <w:rFonts w:cstheme="minorHAnsi"/>
          <w:b/>
        </w:rPr>
        <w:t>Question 16</w:t>
      </w:r>
      <w:r w:rsidRPr="00914542">
        <w:rPr>
          <w:rFonts w:cstheme="minorHAnsi"/>
        </w:rPr>
        <w:t xml:space="preserve">:  </w:t>
      </w:r>
      <w:r w:rsidRPr="00914542">
        <w:rPr>
          <w:rFonts w:cstheme="minorHAnsi"/>
        </w:rPr>
        <w:tab/>
      </w:r>
      <w:r w:rsidRPr="008A79E0">
        <w:rPr>
          <w:rFonts w:cstheme="minorHAnsi"/>
          <w:i/>
        </w:rPr>
        <w:t>(3.1.1.5)</w:t>
      </w:r>
      <w:r>
        <w:rPr>
          <w:rFonts w:cstheme="minorHAnsi"/>
        </w:rPr>
        <w:t xml:space="preserve">  </w:t>
      </w:r>
      <w:r w:rsidR="003C5219">
        <w:rPr>
          <w:rFonts w:cstheme="minorHAnsi"/>
        </w:rPr>
        <w:t xml:space="preserve"> </w:t>
      </w:r>
      <w:proofErr w:type="gramStart"/>
      <w:r>
        <w:rPr>
          <w:color w:val="000000"/>
        </w:rPr>
        <w:t>This</w:t>
      </w:r>
      <w:proofErr w:type="gramEnd"/>
      <w:r>
        <w:rPr>
          <w:color w:val="000000"/>
        </w:rPr>
        <w:t xml:space="preserve"> section requests that the Bidder identify if the bidder or subcontractor staff were employees of the State of Washington in the past 24 months. </w:t>
      </w:r>
    </w:p>
    <w:p w14:paraId="6E360928" w14:textId="70C1B6B4" w:rsidR="00914542" w:rsidRPr="00C66E03" w:rsidRDefault="00914542" w:rsidP="00C66E03">
      <w:pPr>
        <w:spacing w:after="0" w:line="240" w:lineRule="auto"/>
        <w:ind w:left="2880" w:hanging="1440"/>
        <w:rPr>
          <w:b/>
          <w:color w:val="000000"/>
        </w:rPr>
      </w:pPr>
      <w:r w:rsidRPr="00914542">
        <w:rPr>
          <w:b/>
          <w:color w:val="000000"/>
        </w:rPr>
        <w:t xml:space="preserve">Question 16 a.  </w:t>
      </w:r>
      <w:r w:rsidRPr="00914542">
        <w:rPr>
          <w:color w:val="000000"/>
        </w:rPr>
        <w:t xml:space="preserve">In this instance, does “subcontractor” refer to any organization with which the bidder subcontracts for any type of business or does this refer only to subcontractors that the Bidder is engaging for the </w:t>
      </w:r>
      <w:proofErr w:type="spellStart"/>
      <w:r w:rsidRPr="00914542">
        <w:rPr>
          <w:color w:val="000000"/>
        </w:rPr>
        <w:t>InCK</w:t>
      </w:r>
      <w:proofErr w:type="spellEnd"/>
      <w:r w:rsidRPr="00914542">
        <w:rPr>
          <w:color w:val="000000"/>
        </w:rPr>
        <w:t xml:space="preserve"> activities? </w:t>
      </w:r>
    </w:p>
    <w:p w14:paraId="2A0A283D" w14:textId="25C5D581" w:rsidR="00914542" w:rsidRPr="009A1F9C" w:rsidRDefault="00914542" w:rsidP="00C66E03">
      <w:pPr>
        <w:spacing w:after="0" w:line="240" w:lineRule="auto"/>
        <w:ind w:left="2880" w:hanging="1440"/>
        <w:rPr>
          <w:color w:val="FF0000"/>
        </w:rPr>
      </w:pPr>
      <w:r w:rsidRPr="00C4665E">
        <w:rPr>
          <w:b/>
          <w:color w:val="FF0000"/>
        </w:rPr>
        <w:t>Answer 16a.</w:t>
      </w:r>
      <w:r w:rsidR="00C90010">
        <w:rPr>
          <w:b/>
          <w:color w:val="FF0000"/>
        </w:rPr>
        <w:t xml:space="preserve"> </w:t>
      </w:r>
      <w:r w:rsidR="00C66E03">
        <w:rPr>
          <w:b/>
          <w:color w:val="FF0000"/>
        </w:rPr>
        <w:t xml:space="preserve">     </w:t>
      </w:r>
      <w:r w:rsidR="00C90010" w:rsidRPr="009A1F9C">
        <w:rPr>
          <w:color w:val="FF0000"/>
        </w:rPr>
        <w:t xml:space="preserve">Only anticipated subcontractors to support the </w:t>
      </w:r>
      <w:proofErr w:type="spellStart"/>
      <w:r w:rsidR="00C90010" w:rsidRPr="009A1F9C">
        <w:rPr>
          <w:color w:val="FF0000"/>
        </w:rPr>
        <w:t>InCK</w:t>
      </w:r>
      <w:proofErr w:type="spellEnd"/>
      <w:r w:rsidR="00C90010" w:rsidRPr="009A1F9C">
        <w:rPr>
          <w:color w:val="FF0000"/>
        </w:rPr>
        <w:t xml:space="preserve"> activities.</w:t>
      </w:r>
    </w:p>
    <w:p w14:paraId="2E1F51EB" w14:textId="0296645D" w:rsidR="00147C0D" w:rsidRPr="00914542" w:rsidRDefault="00147C0D" w:rsidP="00914542">
      <w:pPr>
        <w:spacing w:after="0" w:line="240" w:lineRule="auto"/>
        <w:ind w:left="1980" w:hanging="540"/>
        <w:rPr>
          <w:color w:val="000000"/>
        </w:rPr>
      </w:pPr>
    </w:p>
    <w:p w14:paraId="16D873DC" w14:textId="1D2AE00A" w:rsidR="00F4450C" w:rsidRPr="00205C8B" w:rsidRDefault="00914542" w:rsidP="00205C8B">
      <w:pPr>
        <w:pStyle w:val="ListParagraph"/>
        <w:ind w:left="2880" w:hanging="1440"/>
        <w:rPr>
          <w:color w:val="000000"/>
        </w:rPr>
      </w:pPr>
      <w:r w:rsidRPr="00914542">
        <w:rPr>
          <w:b/>
          <w:color w:val="000000"/>
        </w:rPr>
        <w:t>Question 16 b</w:t>
      </w:r>
      <w:r>
        <w:rPr>
          <w:color w:val="000000"/>
        </w:rPr>
        <w:t xml:space="preserve">. </w:t>
      </w:r>
      <w:r w:rsidR="00205C8B">
        <w:rPr>
          <w:color w:val="000000"/>
        </w:rPr>
        <w:t xml:space="preserve"> </w:t>
      </w:r>
      <w:r w:rsidRPr="00205C8B">
        <w:rPr>
          <w:color w:val="000000"/>
        </w:rPr>
        <w:t xml:space="preserve">Assuming that “subcontractor” refers only to those engaged with the Bidder in the </w:t>
      </w:r>
      <w:proofErr w:type="spellStart"/>
      <w:r w:rsidRPr="00205C8B">
        <w:rPr>
          <w:color w:val="000000"/>
        </w:rPr>
        <w:t>InCK</w:t>
      </w:r>
      <w:proofErr w:type="spellEnd"/>
      <w:r w:rsidRPr="00205C8B">
        <w:rPr>
          <w:color w:val="000000"/>
        </w:rPr>
        <w:t xml:space="preserve"> activities, please clarify whether partners </w:t>
      </w:r>
      <w:proofErr w:type="gramStart"/>
      <w:r w:rsidRPr="00205C8B">
        <w:rPr>
          <w:color w:val="000000"/>
        </w:rPr>
        <w:t>may be added</w:t>
      </w:r>
      <w:proofErr w:type="gramEnd"/>
      <w:r w:rsidRPr="00205C8B">
        <w:rPr>
          <w:color w:val="000000"/>
        </w:rPr>
        <w:t xml:space="preserve"> to this work in the future. Due to the short timeframe for the RFA </w:t>
      </w:r>
      <w:r w:rsidRPr="00205C8B">
        <w:rPr>
          <w:color w:val="000000"/>
        </w:rPr>
        <w:lastRenderedPageBreak/>
        <w:t xml:space="preserve">response, it seems likely that </w:t>
      </w:r>
      <w:proofErr w:type="gramStart"/>
      <w:r w:rsidRPr="00205C8B">
        <w:rPr>
          <w:color w:val="000000"/>
        </w:rPr>
        <w:t>further partners will be identified by the Lead Organization</w:t>
      </w:r>
      <w:proofErr w:type="gramEnd"/>
      <w:r w:rsidRPr="00205C8B">
        <w:rPr>
          <w:color w:val="000000"/>
        </w:rPr>
        <w:t xml:space="preserve"> and HCA as the response to CMS is developed.</w:t>
      </w:r>
    </w:p>
    <w:p w14:paraId="08E17EC4" w14:textId="2CFE7D83" w:rsidR="00914542" w:rsidRPr="009A1F9C" w:rsidRDefault="00914542" w:rsidP="00914542">
      <w:pPr>
        <w:pStyle w:val="ListParagraph"/>
        <w:ind w:left="1440"/>
        <w:rPr>
          <w:color w:val="FF0000"/>
        </w:rPr>
      </w:pPr>
      <w:r w:rsidRPr="00B42B53">
        <w:rPr>
          <w:b/>
          <w:color w:val="FF0000"/>
        </w:rPr>
        <w:t xml:space="preserve">Answer 16 b. </w:t>
      </w:r>
      <w:r w:rsidR="00205C8B">
        <w:rPr>
          <w:b/>
          <w:color w:val="FF0000"/>
        </w:rPr>
        <w:t xml:space="preserve">    </w:t>
      </w:r>
      <w:r w:rsidR="00C90010" w:rsidRPr="009A1F9C">
        <w:rPr>
          <w:color w:val="FF0000"/>
        </w:rPr>
        <w:t xml:space="preserve">Yes, partners </w:t>
      </w:r>
      <w:proofErr w:type="gramStart"/>
      <w:r w:rsidR="00C90010" w:rsidRPr="009A1F9C">
        <w:rPr>
          <w:color w:val="FF0000"/>
        </w:rPr>
        <w:t>may be added</w:t>
      </w:r>
      <w:proofErr w:type="gramEnd"/>
      <w:r w:rsidR="00C90010" w:rsidRPr="009A1F9C">
        <w:rPr>
          <w:color w:val="FF0000"/>
        </w:rPr>
        <w:t xml:space="preserve"> in the future.  </w:t>
      </w:r>
    </w:p>
    <w:p w14:paraId="4DC8CF63" w14:textId="71EC4401" w:rsidR="008A79E0" w:rsidRDefault="008A79E0" w:rsidP="00914542">
      <w:pPr>
        <w:pStyle w:val="ListParagraph"/>
        <w:ind w:left="1440"/>
        <w:rPr>
          <w:color w:val="FF0000"/>
        </w:rPr>
      </w:pPr>
    </w:p>
    <w:p w14:paraId="0FF9DCAB" w14:textId="77777777" w:rsidR="00A614B4" w:rsidRDefault="00A614B4" w:rsidP="00914542">
      <w:pPr>
        <w:pStyle w:val="ListParagraph"/>
        <w:ind w:left="1440"/>
        <w:rPr>
          <w:color w:val="FF0000"/>
        </w:rPr>
      </w:pPr>
    </w:p>
    <w:p w14:paraId="2BC8ECEC" w14:textId="77777777" w:rsidR="00914542" w:rsidRDefault="008A79E0" w:rsidP="008A79E0">
      <w:pPr>
        <w:ind w:left="1440" w:hanging="1440"/>
        <w:rPr>
          <w:color w:val="000000"/>
        </w:rPr>
      </w:pPr>
      <w:r w:rsidRPr="008A79E0">
        <w:rPr>
          <w:rFonts w:cstheme="minorHAnsi"/>
          <w:b/>
        </w:rPr>
        <w:t>Question 17:</w:t>
      </w:r>
      <w:r>
        <w:rPr>
          <w:rFonts w:cstheme="minorHAnsi"/>
          <w:b/>
        </w:rPr>
        <w:tab/>
      </w:r>
      <w:r w:rsidRPr="008A79E0">
        <w:rPr>
          <w:rFonts w:cstheme="minorHAnsi"/>
          <w:i/>
        </w:rPr>
        <w:t>(</w:t>
      </w:r>
      <w:r w:rsidRPr="008A79E0">
        <w:rPr>
          <w:i/>
          <w:color w:val="000000"/>
        </w:rPr>
        <w:t>Section 3.1.2.5)</w:t>
      </w:r>
      <w:r>
        <w:rPr>
          <w:color w:val="000000"/>
        </w:rPr>
        <w:t xml:space="preserve">  </w:t>
      </w:r>
      <w:r w:rsidR="003C5219">
        <w:rPr>
          <w:color w:val="000000"/>
        </w:rPr>
        <w:t xml:space="preserve"> </w:t>
      </w:r>
      <w:r>
        <w:rPr>
          <w:color w:val="000000"/>
        </w:rPr>
        <w:t>Please confirm that “comparable service area” is a geographic region comparable to the selected geographic service region(s) that will NOT receive the proposed intervention.</w:t>
      </w:r>
    </w:p>
    <w:p w14:paraId="5635D90C" w14:textId="7F350690" w:rsidR="008A79E0" w:rsidRDefault="008A79E0" w:rsidP="008A79E0">
      <w:pPr>
        <w:ind w:left="1440" w:hanging="1440"/>
        <w:rPr>
          <w:rFonts w:cstheme="minorHAnsi"/>
          <w:b/>
          <w:color w:val="FF0000"/>
        </w:rPr>
      </w:pPr>
      <w:r w:rsidRPr="008A79E0">
        <w:rPr>
          <w:rFonts w:cstheme="minorHAnsi"/>
          <w:b/>
          <w:color w:val="FF0000"/>
        </w:rPr>
        <w:t>Answer 17:</w:t>
      </w:r>
      <w:r w:rsidR="00C90010">
        <w:rPr>
          <w:rFonts w:cstheme="minorHAnsi"/>
          <w:b/>
          <w:color w:val="FF0000"/>
        </w:rPr>
        <w:tab/>
      </w:r>
      <w:r w:rsidR="00C90010" w:rsidRPr="009A1F9C">
        <w:rPr>
          <w:rFonts w:cstheme="minorHAnsi"/>
          <w:color w:val="FF0000"/>
        </w:rPr>
        <w:t>Correct.</w:t>
      </w:r>
    </w:p>
    <w:p w14:paraId="6AD48DDA" w14:textId="77777777" w:rsidR="008A79E0" w:rsidRDefault="008A79E0" w:rsidP="008A79E0">
      <w:pPr>
        <w:ind w:left="1440" w:hanging="1440"/>
        <w:rPr>
          <w:rFonts w:cstheme="minorHAnsi"/>
          <w:b/>
          <w:color w:val="FF0000"/>
        </w:rPr>
      </w:pPr>
    </w:p>
    <w:p w14:paraId="7752E4FE" w14:textId="7D9CDBDB" w:rsidR="0016565E" w:rsidRDefault="008A79E0" w:rsidP="0016565E">
      <w:pPr>
        <w:ind w:left="1440" w:hanging="1440"/>
        <w:rPr>
          <w:color w:val="000000"/>
        </w:rPr>
      </w:pPr>
      <w:r w:rsidRPr="008A79E0">
        <w:rPr>
          <w:rFonts w:cstheme="minorHAnsi"/>
          <w:b/>
        </w:rPr>
        <w:t xml:space="preserve">Question 18: </w:t>
      </w:r>
      <w:r w:rsidRPr="008A79E0">
        <w:rPr>
          <w:rFonts w:cstheme="minorHAnsi"/>
          <w:b/>
          <w:color w:val="FF0000"/>
        </w:rPr>
        <w:tab/>
      </w:r>
      <w:r w:rsidRPr="005B445A">
        <w:rPr>
          <w:rFonts w:cstheme="minorHAnsi"/>
          <w:i/>
        </w:rPr>
        <w:t>(</w:t>
      </w:r>
      <w:r w:rsidRPr="005B445A">
        <w:rPr>
          <w:i/>
          <w:color w:val="000000"/>
        </w:rPr>
        <w:t>Section 3.1.2.5</w:t>
      </w:r>
      <w:proofErr w:type="gramStart"/>
      <w:r w:rsidRPr="005B445A">
        <w:rPr>
          <w:i/>
          <w:color w:val="000000"/>
        </w:rPr>
        <w:t>)</w:t>
      </w:r>
      <w:r w:rsidRPr="005B445A">
        <w:rPr>
          <w:color w:val="000000"/>
        </w:rPr>
        <w:t xml:space="preserve">  </w:t>
      </w:r>
      <w:r w:rsidR="0016565E">
        <w:rPr>
          <w:color w:val="000000"/>
        </w:rPr>
        <w:t>CMS</w:t>
      </w:r>
      <w:proofErr w:type="gramEnd"/>
      <w:r w:rsidR="0016565E">
        <w:rPr>
          <w:color w:val="000000"/>
        </w:rPr>
        <w:t xml:space="preserve"> states that the </w:t>
      </w:r>
      <w:proofErr w:type="spellStart"/>
      <w:r w:rsidR="0016565E">
        <w:rPr>
          <w:color w:val="000000"/>
        </w:rPr>
        <w:t>InCK</w:t>
      </w:r>
      <w:proofErr w:type="spellEnd"/>
      <w:r w:rsidR="0016565E">
        <w:rPr>
          <w:color w:val="000000"/>
        </w:rPr>
        <w:t xml:space="preserve"> model will serve a specified (and CMS-approved) sub-state geographic area. </w:t>
      </w:r>
    </w:p>
    <w:p w14:paraId="10D95E09" w14:textId="21C9B45B" w:rsidR="0016565E" w:rsidRPr="00A614B4" w:rsidRDefault="0016565E" w:rsidP="00A614B4">
      <w:pPr>
        <w:spacing w:after="0" w:line="240" w:lineRule="auto"/>
        <w:ind w:left="2880" w:hanging="1440"/>
        <w:rPr>
          <w:b/>
          <w:color w:val="000000"/>
        </w:rPr>
      </w:pPr>
      <w:r w:rsidRPr="0016565E">
        <w:rPr>
          <w:b/>
          <w:color w:val="000000"/>
        </w:rPr>
        <w:t>Question 18 a.</w:t>
      </w:r>
      <w:r w:rsidR="00A614B4">
        <w:rPr>
          <w:b/>
          <w:color w:val="000000"/>
        </w:rPr>
        <w:t xml:space="preserve">  </w:t>
      </w:r>
      <w:r w:rsidRPr="0016565E">
        <w:rPr>
          <w:color w:val="000000"/>
        </w:rPr>
        <w:t>Has HCA identified parameters around population size or geographic scope for this activity?</w:t>
      </w:r>
    </w:p>
    <w:p w14:paraId="7DF92CF9" w14:textId="6C679564" w:rsidR="0016565E" w:rsidRDefault="004156C2" w:rsidP="00A614B4">
      <w:pPr>
        <w:spacing w:after="0" w:line="240" w:lineRule="auto"/>
        <w:ind w:left="2880" w:hanging="1440"/>
        <w:rPr>
          <w:b/>
          <w:color w:val="FF0000"/>
        </w:rPr>
      </w:pPr>
      <w:r w:rsidRPr="00147C0D">
        <w:rPr>
          <w:b/>
          <w:color w:val="FF0000"/>
        </w:rPr>
        <w:t>Answer 18 a</w:t>
      </w:r>
      <w:r w:rsidR="0016565E" w:rsidRPr="00147C0D">
        <w:rPr>
          <w:b/>
          <w:color w:val="FF0000"/>
        </w:rPr>
        <w:t>. </w:t>
      </w:r>
      <w:r w:rsidR="00A614B4">
        <w:rPr>
          <w:b/>
          <w:color w:val="FF0000"/>
        </w:rPr>
        <w:t xml:space="preserve">    </w:t>
      </w:r>
      <w:r w:rsidR="00C90010" w:rsidRPr="009A1F9C">
        <w:rPr>
          <w:color w:val="FF0000"/>
        </w:rPr>
        <w:t xml:space="preserve">HCA has not identified specific </w:t>
      </w:r>
      <w:proofErr w:type="gramStart"/>
      <w:r w:rsidR="00C90010" w:rsidRPr="009A1F9C">
        <w:rPr>
          <w:color w:val="FF0000"/>
        </w:rPr>
        <w:t>parameters,</w:t>
      </w:r>
      <w:proofErr w:type="gramEnd"/>
      <w:r w:rsidR="00C90010" w:rsidRPr="009A1F9C">
        <w:rPr>
          <w:color w:val="FF0000"/>
        </w:rPr>
        <w:t xml:space="preserve"> however the RFA process will look for rationale regarding all aspects of the proposed </w:t>
      </w:r>
      <w:proofErr w:type="spellStart"/>
      <w:r w:rsidR="00C90010" w:rsidRPr="009A1F9C">
        <w:rPr>
          <w:color w:val="FF0000"/>
        </w:rPr>
        <w:t>InCK</w:t>
      </w:r>
      <w:proofErr w:type="spellEnd"/>
      <w:r w:rsidR="00C90010" w:rsidRPr="009A1F9C">
        <w:rPr>
          <w:color w:val="FF0000"/>
        </w:rPr>
        <w:t xml:space="preserve"> model, including identified service area.</w:t>
      </w:r>
      <w:r w:rsidR="00C90010">
        <w:rPr>
          <w:b/>
          <w:color w:val="FF0000"/>
        </w:rPr>
        <w:t xml:space="preserve">  </w:t>
      </w:r>
    </w:p>
    <w:p w14:paraId="5CDB0939" w14:textId="77777777" w:rsidR="00BE5101" w:rsidRPr="00147C0D" w:rsidRDefault="00BE5101" w:rsidP="00A614B4">
      <w:pPr>
        <w:spacing w:after="0" w:line="240" w:lineRule="auto"/>
        <w:ind w:left="2880" w:hanging="1440"/>
        <w:rPr>
          <w:b/>
          <w:color w:val="FF0000"/>
        </w:rPr>
      </w:pPr>
    </w:p>
    <w:p w14:paraId="452C3197" w14:textId="2C215CE1" w:rsidR="004156C2" w:rsidRPr="00BE5101" w:rsidRDefault="0016565E" w:rsidP="00BE5101">
      <w:pPr>
        <w:spacing w:after="0" w:line="240" w:lineRule="auto"/>
        <w:ind w:left="1440"/>
        <w:rPr>
          <w:b/>
          <w:color w:val="000000"/>
        </w:rPr>
      </w:pPr>
      <w:r w:rsidRPr="0016565E">
        <w:rPr>
          <w:b/>
          <w:color w:val="000000"/>
        </w:rPr>
        <w:t>Question 18</w:t>
      </w:r>
      <w:r w:rsidR="004156C2">
        <w:rPr>
          <w:b/>
          <w:color w:val="000000"/>
        </w:rPr>
        <w:t xml:space="preserve"> b. </w:t>
      </w:r>
      <w:r w:rsidRPr="0016565E">
        <w:rPr>
          <w:b/>
          <w:color w:val="000000"/>
        </w:rPr>
        <w:t> </w:t>
      </w:r>
      <w:r>
        <w:rPr>
          <w:color w:val="000000"/>
        </w:rPr>
        <w:t>Must geographies include the entirety of a county, an RSA, or an ACH?</w:t>
      </w:r>
    </w:p>
    <w:p w14:paraId="4B77381C" w14:textId="16F4EBBF" w:rsidR="004156C2" w:rsidRPr="00147C0D" w:rsidRDefault="004156C2" w:rsidP="004156C2">
      <w:pPr>
        <w:spacing w:after="0" w:line="240" w:lineRule="auto"/>
        <w:ind w:left="720" w:firstLine="720"/>
        <w:rPr>
          <w:b/>
          <w:color w:val="FF0000"/>
        </w:rPr>
      </w:pPr>
      <w:r w:rsidRPr="00147C0D">
        <w:rPr>
          <w:b/>
          <w:color w:val="FF0000"/>
        </w:rPr>
        <w:t>Answer 18 b.</w:t>
      </w:r>
      <w:r w:rsidR="00C90010">
        <w:rPr>
          <w:b/>
          <w:color w:val="FF0000"/>
        </w:rPr>
        <w:t xml:space="preserve"> </w:t>
      </w:r>
      <w:r w:rsidR="00BE5101">
        <w:rPr>
          <w:b/>
          <w:color w:val="FF0000"/>
        </w:rPr>
        <w:t xml:space="preserve">   </w:t>
      </w:r>
      <w:r w:rsidR="00BE5101" w:rsidRPr="000D6916">
        <w:rPr>
          <w:color w:val="FF0000"/>
        </w:rPr>
        <w:t xml:space="preserve"> </w:t>
      </w:r>
      <w:r w:rsidR="00C90010" w:rsidRPr="000D6916">
        <w:rPr>
          <w:color w:val="FF0000"/>
        </w:rPr>
        <w:t>No</w:t>
      </w:r>
      <w:r w:rsidR="006E7E30" w:rsidRPr="000D6916">
        <w:rPr>
          <w:color w:val="FF0000"/>
        </w:rPr>
        <w:t>.</w:t>
      </w:r>
    </w:p>
    <w:p w14:paraId="37B0643D" w14:textId="77777777" w:rsidR="004156C2" w:rsidRDefault="004156C2" w:rsidP="004156C2">
      <w:pPr>
        <w:spacing w:after="0" w:line="240" w:lineRule="auto"/>
        <w:rPr>
          <w:color w:val="FF0000"/>
        </w:rPr>
      </w:pPr>
    </w:p>
    <w:p w14:paraId="413987E7" w14:textId="77777777" w:rsidR="00B42B53" w:rsidRDefault="00B42B53" w:rsidP="004156C2">
      <w:pPr>
        <w:spacing w:after="0" w:line="240" w:lineRule="auto"/>
        <w:rPr>
          <w:color w:val="FF0000"/>
        </w:rPr>
      </w:pPr>
    </w:p>
    <w:p w14:paraId="571F7844" w14:textId="77777777" w:rsidR="008A79E0" w:rsidRDefault="004156C2" w:rsidP="004156C2">
      <w:pPr>
        <w:spacing w:after="0" w:line="240" w:lineRule="auto"/>
        <w:ind w:left="1440" w:hanging="1440"/>
        <w:rPr>
          <w:color w:val="000000"/>
        </w:rPr>
      </w:pPr>
      <w:r w:rsidRPr="004156C2">
        <w:rPr>
          <w:b/>
        </w:rPr>
        <w:t xml:space="preserve">Question 19: </w:t>
      </w:r>
      <w:r w:rsidR="0016565E" w:rsidRPr="004156C2">
        <w:rPr>
          <w:b/>
        </w:rPr>
        <w:t> </w:t>
      </w:r>
      <w:r>
        <w:rPr>
          <w:b/>
        </w:rPr>
        <w:tab/>
      </w:r>
      <w:r w:rsidRPr="00615068">
        <w:rPr>
          <w:i/>
        </w:rPr>
        <w:t>(</w:t>
      </w:r>
      <w:r w:rsidRPr="00615068">
        <w:rPr>
          <w:i/>
          <w:color w:val="000000"/>
        </w:rPr>
        <w:t>Section 4.1)</w:t>
      </w:r>
      <w:r w:rsidRPr="00615068">
        <w:rPr>
          <w:color w:val="000000"/>
        </w:rPr>
        <w:t xml:space="preserve"> </w:t>
      </w:r>
      <w:r w:rsidR="00157D9F" w:rsidRPr="00615068">
        <w:rPr>
          <w:color w:val="000000"/>
        </w:rPr>
        <w:t xml:space="preserve"> </w:t>
      </w:r>
      <w:r w:rsidR="003C5219" w:rsidRPr="00615068">
        <w:rPr>
          <w:color w:val="000000"/>
        </w:rPr>
        <w:t xml:space="preserve"> </w:t>
      </w:r>
      <w:proofErr w:type="gramStart"/>
      <w:r w:rsidRPr="00615068">
        <w:rPr>
          <w:color w:val="000000"/>
        </w:rPr>
        <w:t>What</w:t>
      </w:r>
      <w:proofErr w:type="gramEnd"/>
      <w:r w:rsidRPr="00615068">
        <w:rPr>
          <w:color w:val="000000"/>
        </w:rPr>
        <w:t xml:space="preserve"> state agencies or other organizations will participate in evaluation of the applications?</w:t>
      </w:r>
    </w:p>
    <w:p w14:paraId="6D55B040" w14:textId="77777777" w:rsidR="00157D9F" w:rsidRDefault="00157D9F" w:rsidP="004156C2">
      <w:pPr>
        <w:spacing w:after="0" w:line="240" w:lineRule="auto"/>
        <w:ind w:left="1440" w:hanging="1440"/>
        <w:rPr>
          <w:rFonts w:cstheme="minorHAnsi"/>
          <w:b/>
        </w:rPr>
      </w:pPr>
    </w:p>
    <w:p w14:paraId="0B578881" w14:textId="098CB442" w:rsidR="00157D9F" w:rsidRDefault="00157D9F" w:rsidP="004156C2">
      <w:pPr>
        <w:spacing w:after="0" w:line="240" w:lineRule="auto"/>
        <w:ind w:left="1440" w:hanging="1440"/>
        <w:rPr>
          <w:rFonts w:cstheme="minorHAnsi"/>
          <w:b/>
          <w:color w:val="FF0000"/>
        </w:rPr>
      </w:pPr>
      <w:r w:rsidRPr="00157D9F">
        <w:rPr>
          <w:rFonts w:cstheme="minorHAnsi"/>
          <w:b/>
          <w:color w:val="FF0000"/>
        </w:rPr>
        <w:t>Answer 19:</w:t>
      </w:r>
      <w:r w:rsidR="00615068">
        <w:rPr>
          <w:rFonts w:cstheme="minorHAnsi"/>
          <w:b/>
          <w:color w:val="FF0000"/>
        </w:rPr>
        <w:tab/>
      </w:r>
      <w:r w:rsidR="00033191" w:rsidRPr="00033191">
        <w:rPr>
          <w:rFonts w:cstheme="minorHAnsi"/>
          <w:color w:val="FF0000"/>
        </w:rPr>
        <w:t>Based on availability</w:t>
      </w:r>
      <w:r w:rsidR="00E15823">
        <w:rPr>
          <w:rFonts w:cstheme="minorHAnsi"/>
          <w:color w:val="FF0000"/>
        </w:rPr>
        <w:t xml:space="preserve">, at this time </w:t>
      </w:r>
      <w:r w:rsidR="00033191">
        <w:rPr>
          <w:rFonts w:cstheme="minorHAnsi"/>
          <w:color w:val="FF0000"/>
        </w:rPr>
        <w:t xml:space="preserve">HCA plans to have participants from </w:t>
      </w:r>
      <w:r w:rsidR="00594BBB">
        <w:rPr>
          <w:rFonts w:cstheme="minorHAnsi"/>
          <w:color w:val="FF0000"/>
        </w:rPr>
        <w:t xml:space="preserve">HCA and </w:t>
      </w:r>
      <w:r w:rsidR="00033191">
        <w:rPr>
          <w:rFonts w:cstheme="minorHAnsi"/>
          <w:color w:val="FF0000"/>
        </w:rPr>
        <w:t xml:space="preserve">several other </w:t>
      </w:r>
      <w:r w:rsidR="00594BBB">
        <w:rPr>
          <w:rFonts w:cstheme="minorHAnsi"/>
          <w:color w:val="FF0000"/>
        </w:rPr>
        <w:t>state agencies</w:t>
      </w:r>
      <w:proofErr w:type="gramStart"/>
      <w:r w:rsidR="00594BBB">
        <w:rPr>
          <w:rFonts w:cstheme="minorHAnsi"/>
          <w:color w:val="FF0000"/>
        </w:rPr>
        <w:t>;</w:t>
      </w:r>
      <w:proofErr w:type="gramEnd"/>
      <w:r w:rsidR="00033191">
        <w:rPr>
          <w:rFonts w:cstheme="minorHAnsi"/>
          <w:color w:val="FF0000"/>
        </w:rPr>
        <w:t xml:space="preserve"> Department of Social Services (</w:t>
      </w:r>
      <w:r w:rsidR="00033191" w:rsidRPr="00033191">
        <w:rPr>
          <w:rFonts w:cstheme="minorHAnsi"/>
          <w:color w:val="FF0000"/>
        </w:rPr>
        <w:t>DSHS</w:t>
      </w:r>
      <w:r w:rsidR="00033191">
        <w:rPr>
          <w:rFonts w:cstheme="minorHAnsi"/>
          <w:color w:val="FF0000"/>
        </w:rPr>
        <w:t>), Department of Health</w:t>
      </w:r>
      <w:r w:rsidR="00033191" w:rsidRPr="00033191">
        <w:rPr>
          <w:rFonts w:cstheme="minorHAnsi"/>
          <w:color w:val="FF0000"/>
        </w:rPr>
        <w:t xml:space="preserve"> </w:t>
      </w:r>
      <w:r w:rsidR="00033191">
        <w:rPr>
          <w:rFonts w:cstheme="minorHAnsi"/>
          <w:color w:val="FF0000"/>
        </w:rPr>
        <w:t>(</w:t>
      </w:r>
      <w:r w:rsidR="00033191" w:rsidRPr="00033191">
        <w:rPr>
          <w:rFonts w:cstheme="minorHAnsi"/>
          <w:color w:val="FF0000"/>
        </w:rPr>
        <w:t>DOH</w:t>
      </w:r>
      <w:r w:rsidR="00033191">
        <w:rPr>
          <w:rFonts w:cstheme="minorHAnsi"/>
          <w:color w:val="FF0000"/>
        </w:rPr>
        <w:t>)</w:t>
      </w:r>
      <w:r w:rsidR="00033191" w:rsidRPr="00033191">
        <w:rPr>
          <w:rFonts w:cstheme="minorHAnsi"/>
          <w:color w:val="FF0000"/>
        </w:rPr>
        <w:t xml:space="preserve"> </w:t>
      </w:r>
      <w:r w:rsidR="00594BBB">
        <w:rPr>
          <w:rFonts w:cstheme="minorHAnsi"/>
          <w:color w:val="FF0000"/>
        </w:rPr>
        <w:t>and Department of Children Youth and Families (</w:t>
      </w:r>
      <w:r w:rsidR="00033191" w:rsidRPr="00033191">
        <w:rPr>
          <w:rFonts w:cstheme="minorHAnsi"/>
          <w:color w:val="FF0000"/>
        </w:rPr>
        <w:t>DCYF</w:t>
      </w:r>
      <w:r w:rsidR="00594BBB">
        <w:rPr>
          <w:rFonts w:cstheme="minorHAnsi"/>
          <w:color w:val="FF0000"/>
        </w:rPr>
        <w:t>).</w:t>
      </w:r>
    </w:p>
    <w:p w14:paraId="381C7D14" w14:textId="77777777" w:rsidR="00157D9F" w:rsidRDefault="00157D9F" w:rsidP="004156C2">
      <w:pPr>
        <w:spacing w:after="0" w:line="240" w:lineRule="auto"/>
        <w:ind w:left="1440" w:hanging="1440"/>
        <w:rPr>
          <w:rFonts w:cstheme="minorHAnsi"/>
          <w:b/>
          <w:color w:val="FF0000"/>
        </w:rPr>
      </w:pPr>
    </w:p>
    <w:p w14:paraId="37F7354B" w14:textId="77777777" w:rsidR="00157D9F" w:rsidRDefault="00157D9F" w:rsidP="004156C2">
      <w:pPr>
        <w:spacing w:after="0" w:line="240" w:lineRule="auto"/>
        <w:ind w:left="1440" w:hanging="1440"/>
        <w:rPr>
          <w:rFonts w:cstheme="minorHAnsi"/>
          <w:b/>
          <w:color w:val="FF0000"/>
        </w:rPr>
      </w:pPr>
    </w:p>
    <w:p w14:paraId="21C44D99" w14:textId="77777777" w:rsidR="00157D9F" w:rsidRDefault="00157D9F" w:rsidP="004156C2">
      <w:pPr>
        <w:spacing w:after="0" w:line="240" w:lineRule="auto"/>
        <w:ind w:left="1440" w:hanging="1440"/>
        <w:rPr>
          <w:color w:val="000000"/>
        </w:rPr>
      </w:pPr>
      <w:r w:rsidRPr="00157D9F">
        <w:rPr>
          <w:rFonts w:cstheme="minorHAnsi"/>
          <w:b/>
        </w:rPr>
        <w:t>Question 20:</w:t>
      </w:r>
      <w:r>
        <w:rPr>
          <w:rFonts w:cstheme="minorHAnsi"/>
          <w:b/>
        </w:rPr>
        <w:tab/>
      </w:r>
      <w:r w:rsidRPr="002D0E7A">
        <w:rPr>
          <w:rFonts w:cstheme="minorHAnsi"/>
          <w:i/>
        </w:rPr>
        <w:t>(</w:t>
      </w:r>
      <w:r w:rsidRPr="002D0E7A">
        <w:rPr>
          <w:i/>
          <w:color w:val="000000"/>
        </w:rPr>
        <w:t>Section 4.2.1)</w:t>
      </w:r>
      <w:r w:rsidRPr="002D0E7A">
        <w:rPr>
          <w:color w:val="000000"/>
        </w:rPr>
        <w:t xml:space="preserve">  </w:t>
      </w:r>
      <w:r w:rsidR="003C5219" w:rsidRPr="002D0E7A">
        <w:rPr>
          <w:color w:val="000000"/>
        </w:rPr>
        <w:t xml:space="preserve"> </w:t>
      </w:r>
      <w:r w:rsidRPr="002D0E7A">
        <w:rPr>
          <w:color w:val="000000"/>
        </w:rPr>
        <w:t xml:space="preserve">Each scoring option from Poor to Good includes 2 or </w:t>
      </w:r>
      <w:proofErr w:type="gramStart"/>
      <w:r w:rsidRPr="002D0E7A">
        <w:rPr>
          <w:color w:val="000000"/>
        </w:rPr>
        <w:t>3 point</w:t>
      </w:r>
      <w:proofErr w:type="gramEnd"/>
      <w:r w:rsidRPr="002D0E7A">
        <w:rPr>
          <w:color w:val="000000"/>
        </w:rPr>
        <w:t xml:space="preserve"> value options. What are the</w:t>
      </w:r>
      <w:r>
        <w:rPr>
          <w:color w:val="000000"/>
        </w:rPr>
        <w:t xml:space="preserve"> criteria by which an evaluator will determine which point value a response will receive? For example, a response </w:t>
      </w:r>
      <w:proofErr w:type="gramStart"/>
      <w:r>
        <w:rPr>
          <w:color w:val="000000"/>
        </w:rPr>
        <w:t>considered to be “</w:t>
      </w:r>
      <w:proofErr w:type="gramEnd"/>
      <w:r>
        <w:rPr>
          <w:color w:val="000000"/>
        </w:rPr>
        <w:t xml:space="preserve">Good” could receive a score of 7, 8, or 9. If an evaluator determines that the response meets the stated criteria for “Good”, how will the evaluator determine whether the response should be awarded a </w:t>
      </w:r>
      <w:proofErr w:type="gramStart"/>
      <w:r>
        <w:rPr>
          <w:color w:val="000000"/>
        </w:rPr>
        <w:t>7</w:t>
      </w:r>
      <w:proofErr w:type="gramEnd"/>
      <w:r>
        <w:rPr>
          <w:color w:val="000000"/>
        </w:rPr>
        <w:t>, an 8, or a 9?</w:t>
      </w:r>
    </w:p>
    <w:p w14:paraId="02E1A7C6" w14:textId="77777777" w:rsidR="00157D9F" w:rsidRDefault="00157D9F" w:rsidP="004156C2">
      <w:pPr>
        <w:spacing w:after="0" w:line="240" w:lineRule="auto"/>
        <w:ind w:left="1440" w:hanging="1440"/>
        <w:rPr>
          <w:rFonts w:cstheme="minorHAnsi"/>
          <w:b/>
        </w:rPr>
      </w:pPr>
    </w:p>
    <w:p w14:paraId="25EE0B75" w14:textId="376E98A9" w:rsidR="00157D9F" w:rsidRDefault="00157D9F" w:rsidP="004156C2">
      <w:pPr>
        <w:spacing w:after="0" w:line="240" w:lineRule="auto"/>
        <w:ind w:left="1440" w:hanging="1440"/>
        <w:rPr>
          <w:rFonts w:cstheme="minorHAnsi"/>
          <w:b/>
          <w:color w:val="FF0000"/>
        </w:rPr>
      </w:pPr>
      <w:r w:rsidRPr="00157D9F">
        <w:rPr>
          <w:rFonts w:cstheme="minorHAnsi"/>
          <w:b/>
          <w:color w:val="FF0000"/>
        </w:rPr>
        <w:t>Answer 20:</w:t>
      </w:r>
      <w:r w:rsidR="00887B49">
        <w:rPr>
          <w:rFonts w:cstheme="minorHAnsi"/>
          <w:b/>
          <w:color w:val="FF0000"/>
        </w:rPr>
        <w:tab/>
      </w:r>
      <w:r w:rsidR="00887B49" w:rsidRPr="00925CF8">
        <w:rPr>
          <w:color w:val="FF0000"/>
        </w:rPr>
        <w:t>Evaluators determine their individual score based on their subject matter expertise, the requirements set forth in the RFP, and the Bidders response</w:t>
      </w:r>
      <w:r w:rsidR="00887B49">
        <w:rPr>
          <w:color w:val="1F497D"/>
        </w:rPr>
        <w:t>.</w:t>
      </w:r>
    </w:p>
    <w:p w14:paraId="383A47A5" w14:textId="77777777" w:rsidR="00157D9F" w:rsidRDefault="00157D9F" w:rsidP="004156C2">
      <w:pPr>
        <w:spacing w:after="0" w:line="240" w:lineRule="auto"/>
        <w:ind w:left="1440" w:hanging="1440"/>
        <w:rPr>
          <w:rFonts w:cstheme="minorHAnsi"/>
          <w:b/>
          <w:color w:val="FF0000"/>
        </w:rPr>
      </w:pPr>
    </w:p>
    <w:p w14:paraId="2EDB6201" w14:textId="77777777" w:rsidR="00E71154" w:rsidRDefault="00E71154" w:rsidP="004156C2">
      <w:pPr>
        <w:spacing w:after="0" w:line="240" w:lineRule="auto"/>
        <w:ind w:left="1440" w:hanging="1440"/>
        <w:rPr>
          <w:rFonts w:cstheme="minorHAnsi"/>
          <w:b/>
          <w:color w:val="FF0000"/>
        </w:rPr>
      </w:pPr>
    </w:p>
    <w:p w14:paraId="314B8AC5" w14:textId="77777777" w:rsidR="00157D9F" w:rsidRDefault="00157D9F" w:rsidP="004156C2">
      <w:pPr>
        <w:spacing w:after="0" w:line="240" w:lineRule="auto"/>
        <w:ind w:left="1440" w:hanging="1440"/>
        <w:rPr>
          <w:rFonts w:cstheme="minorHAnsi"/>
          <w:b/>
          <w:color w:val="FF0000"/>
        </w:rPr>
      </w:pPr>
    </w:p>
    <w:p w14:paraId="3A176934" w14:textId="77777777" w:rsidR="00157D9F" w:rsidRDefault="00157D9F" w:rsidP="004156C2">
      <w:pPr>
        <w:spacing w:after="0" w:line="240" w:lineRule="auto"/>
        <w:ind w:left="1440" w:hanging="1440"/>
        <w:rPr>
          <w:color w:val="000000"/>
        </w:rPr>
      </w:pPr>
      <w:r w:rsidRPr="00157D9F">
        <w:rPr>
          <w:rFonts w:cstheme="minorHAnsi"/>
          <w:b/>
          <w:color w:val="000000" w:themeColor="text1"/>
        </w:rPr>
        <w:lastRenderedPageBreak/>
        <w:t xml:space="preserve">Question 21: </w:t>
      </w:r>
      <w:r>
        <w:rPr>
          <w:rFonts w:cstheme="minorHAnsi"/>
          <w:b/>
          <w:color w:val="000000" w:themeColor="text1"/>
        </w:rPr>
        <w:tab/>
      </w:r>
      <w:r w:rsidRPr="003C5219">
        <w:rPr>
          <w:rFonts w:cstheme="minorHAnsi"/>
          <w:i/>
          <w:color w:val="000000" w:themeColor="text1"/>
        </w:rPr>
        <w:t>(</w:t>
      </w:r>
      <w:r w:rsidRPr="003C5219">
        <w:rPr>
          <w:i/>
          <w:color w:val="000000"/>
        </w:rPr>
        <w:t xml:space="preserve">Sections 4.7 and 2.2)   </w:t>
      </w:r>
      <w:proofErr w:type="gramStart"/>
      <w:r>
        <w:rPr>
          <w:color w:val="000000"/>
        </w:rPr>
        <w:t>Please</w:t>
      </w:r>
      <w:proofErr w:type="gramEnd"/>
      <w:r>
        <w:rPr>
          <w:color w:val="000000"/>
        </w:rPr>
        <w:t xml:space="preserve"> confirm that any protest process would occur after the MOU with the ASB has already been signed and how a potentially successful protest would impact the signed MOU.</w:t>
      </w:r>
    </w:p>
    <w:p w14:paraId="2F2BCE3A" w14:textId="77777777" w:rsidR="00157D9F" w:rsidRDefault="00157D9F" w:rsidP="004156C2">
      <w:pPr>
        <w:spacing w:after="0" w:line="240" w:lineRule="auto"/>
        <w:ind w:left="1440" w:hanging="1440"/>
        <w:rPr>
          <w:rFonts w:cstheme="minorHAnsi"/>
          <w:b/>
          <w:color w:val="000000" w:themeColor="text1"/>
        </w:rPr>
      </w:pPr>
    </w:p>
    <w:p w14:paraId="3E9354D9" w14:textId="12D4445C" w:rsidR="00157D9F" w:rsidRPr="002D0E7A" w:rsidRDefault="00157D9F" w:rsidP="002D0E7A">
      <w:pPr>
        <w:spacing w:after="0" w:line="240" w:lineRule="auto"/>
        <w:ind w:left="1350" w:hanging="1350"/>
        <w:rPr>
          <w:rFonts w:ascii="Calibri" w:hAnsi="Calibri" w:cs="Calibri"/>
          <w:b/>
          <w:color w:val="FF0000"/>
        </w:rPr>
      </w:pPr>
      <w:r w:rsidRPr="00157D9F">
        <w:rPr>
          <w:rFonts w:cstheme="minorHAnsi"/>
          <w:b/>
          <w:color w:val="FF0000"/>
        </w:rPr>
        <w:t>Answer 21:</w:t>
      </w:r>
      <w:r w:rsidR="002D0E7A">
        <w:rPr>
          <w:rFonts w:cstheme="minorHAnsi"/>
          <w:b/>
          <w:color w:val="FF0000"/>
        </w:rPr>
        <w:t xml:space="preserve">      </w:t>
      </w:r>
      <w:r w:rsidR="002D0E7A" w:rsidRPr="00E212F8">
        <w:rPr>
          <w:rFonts w:ascii="Calibri" w:hAnsi="Calibri" w:cs="Calibri"/>
          <w:color w:val="FF0000"/>
        </w:rPr>
        <w:t xml:space="preserve"> Please refer to the following link for the State of Washington’s Procurement</w:t>
      </w:r>
      <w:r w:rsidR="002D0E7A" w:rsidRPr="00E212F8">
        <w:rPr>
          <w:rFonts w:ascii="Calibri" w:hAnsi="Calibri" w:cs="Calibri"/>
          <w:b/>
          <w:color w:val="FF0000"/>
        </w:rPr>
        <w:t xml:space="preserve"> </w:t>
      </w:r>
      <w:proofErr w:type="gramStart"/>
      <w:r w:rsidR="002D0E7A" w:rsidRPr="00E212F8">
        <w:rPr>
          <w:rFonts w:ascii="Calibri" w:hAnsi="Calibri" w:cs="Calibri"/>
          <w:b/>
          <w:color w:val="FF0000"/>
        </w:rPr>
        <w:t>Protest  Policy</w:t>
      </w:r>
      <w:proofErr w:type="gramEnd"/>
      <w:r w:rsidR="002D0E7A" w:rsidRPr="002D0E7A">
        <w:rPr>
          <w:rFonts w:ascii="Calibri" w:hAnsi="Calibri" w:cs="Calibri"/>
          <w:b/>
        </w:rPr>
        <w:t xml:space="preserve"> </w:t>
      </w:r>
      <w:r w:rsidR="002D0E7A" w:rsidRPr="00E212F8">
        <w:rPr>
          <w:rFonts w:ascii="Calibri" w:hAnsi="Calibri" w:cs="Calibri"/>
          <w:color w:val="FF0000"/>
        </w:rPr>
        <w:t>at</w:t>
      </w:r>
      <w:r w:rsidR="002D0E7A" w:rsidRPr="002D0E7A">
        <w:rPr>
          <w:rFonts w:ascii="Calibri" w:hAnsi="Calibri" w:cs="Calibri"/>
          <w:b/>
        </w:rPr>
        <w:t xml:space="preserve"> </w:t>
      </w:r>
      <w:hyperlink r:id="rId10" w:history="1">
        <w:r w:rsidR="002D0E7A" w:rsidRPr="002D0E7A">
          <w:rPr>
            <w:rFonts w:ascii="Calibri" w:hAnsi="Calibri" w:cs="Calibri"/>
            <w:color w:val="0000FF"/>
            <w:u w:val="single"/>
          </w:rPr>
          <w:t>Policy # DES-170-00</w:t>
        </w:r>
      </w:hyperlink>
      <w:r w:rsidR="002D0E7A" w:rsidRPr="002D0E7A">
        <w:rPr>
          <w:rFonts w:ascii="Calibri" w:hAnsi="Calibri" w:cs="Calibri"/>
          <w:color w:val="0000FF"/>
        </w:rPr>
        <w:t xml:space="preserve">  </w:t>
      </w:r>
      <w:r w:rsidR="002D0E7A" w:rsidRPr="00E212F8">
        <w:rPr>
          <w:rFonts w:ascii="Calibri" w:hAnsi="Calibri" w:cs="Calibri"/>
          <w:color w:val="FF0000"/>
        </w:rPr>
        <w:t xml:space="preserve">and </w:t>
      </w:r>
      <w:r w:rsidR="002D0E7A" w:rsidRPr="002D0E7A">
        <w:rPr>
          <w:rFonts w:ascii="Calibri" w:hAnsi="Calibri" w:cs="Calibri"/>
          <w:color w:val="0000FF"/>
        </w:rPr>
        <w:t xml:space="preserve">RCW </w:t>
      </w:r>
      <w:hyperlink r:id="rId11" w:history="1">
        <w:proofErr w:type="spellStart"/>
        <w:r w:rsidR="002D0E7A" w:rsidRPr="002D0E7A">
          <w:rPr>
            <w:rFonts w:ascii="Calibri" w:hAnsi="Calibri" w:cs="Calibri"/>
            <w:color w:val="0000FF"/>
            <w:u w:val="single"/>
          </w:rPr>
          <w:t>RCW</w:t>
        </w:r>
        <w:proofErr w:type="spellEnd"/>
        <w:r w:rsidR="002D0E7A" w:rsidRPr="002D0E7A">
          <w:rPr>
            <w:rFonts w:ascii="Calibri" w:hAnsi="Calibri" w:cs="Calibri"/>
            <w:color w:val="0000FF"/>
            <w:u w:val="single"/>
          </w:rPr>
          <w:t xml:space="preserve"> 39.26.170</w:t>
        </w:r>
      </w:hyperlink>
      <w:r w:rsidR="002D0E7A">
        <w:rPr>
          <w:rFonts w:ascii="Calibri" w:hAnsi="Calibri" w:cs="Calibri"/>
          <w:color w:val="0000FF"/>
          <w:u w:val="single"/>
        </w:rPr>
        <w:t>.</w:t>
      </w:r>
    </w:p>
    <w:p w14:paraId="352AD124" w14:textId="77777777" w:rsidR="00181EFE" w:rsidRDefault="00181EFE" w:rsidP="004156C2">
      <w:pPr>
        <w:spacing w:after="0" w:line="240" w:lineRule="auto"/>
        <w:ind w:left="1440" w:hanging="1440"/>
        <w:rPr>
          <w:rFonts w:cstheme="minorHAnsi"/>
          <w:b/>
          <w:color w:val="FF0000"/>
        </w:rPr>
      </w:pPr>
    </w:p>
    <w:p w14:paraId="46A6106B" w14:textId="77777777" w:rsidR="00E71154" w:rsidRDefault="00E71154" w:rsidP="004156C2">
      <w:pPr>
        <w:spacing w:after="0" w:line="240" w:lineRule="auto"/>
        <w:ind w:left="1440" w:hanging="1440"/>
        <w:rPr>
          <w:rFonts w:cstheme="minorHAnsi"/>
          <w:b/>
          <w:color w:val="FF0000"/>
        </w:rPr>
      </w:pPr>
    </w:p>
    <w:p w14:paraId="6BD0B781" w14:textId="77777777" w:rsidR="0093129F" w:rsidRPr="0093129F" w:rsidRDefault="0093129F" w:rsidP="004156C2">
      <w:pPr>
        <w:spacing w:after="0" w:line="240" w:lineRule="auto"/>
        <w:ind w:left="1440" w:hanging="1440"/>
        <w:rPr>
          <w:rFonts w:cstheme="minorHAnsi"/>
          <w:b/>
        </w:rPr>
      </w:pPr>
      <w:r w:rsidRPr="0093129F">
        <w:rPr>
          <w:rFonts w:cstheme="minorHAnsi"/>
          <w:b/>
        </w:rPr>
        <w:t>Question 22:</w:t>
      </w:r>
      <w:r w:rsidR="007E3DB8">
        <w:rPr>
          <w:rFonts w:cstheme="minorHAnsi"/>
          <w:b/>
        </w:rPr>
        <w:t xml:space="preserve">     </w:t>
      </w:r>
      <w:r w:rsidR="007E3DB8" w:rsidRPr="007E3DB8">
        <w:rPr>
          <w:color w:val="000000"/>
        </w:rPr>
        <w:t>Typically, in Federal Awards, the scope of work identifies the Prime applicant in a Cooperative Agreement. Without the benefit of an RFA from CMS we have a limited definition of the roles expected for the Lead Organization(LO) and the State Medicaid Agency</w:t>
      </w:r>
      <w:r w:rsidR="00E71154">
        <w:rPr>
          <w:color w:val="000000"/>
        </w:rPr>
        <w:t xml:space="preserve"> </w:t>
      </w:r>
      <w:r w:rsidR="007E3DB8" w:rsidRPr="007E3DB8">
        <w:rPr>
          <w:color w:val="000000"/>
        </w:rPr>
        <w:t>(SMA) other than CMS has stated that either the LO or SMA can serve as the prime applicant. Please identify the HCA vision in the design of the role each entity will fulfill on this project. Please also address the HCA’s position on a LO serving as Prime applicant.</w:t>
      </w:r>
    </w:p>
    <w:p w14:paraId="411CB983" w14:textId="77777777" w:rsidR="00F4450C" w:rsidRDefault="00F4450C" w:rsidP="00F4450C">
      <w:pPr>
        <w:spacing w:after="0" w:line="240" w:lineRule="auto"/>
        <w:rPr>
          <w:rFonts w:ascii="Arial" w:hAnsi="Arial" w:cs="Arial"/>
          <w:sz w:val="20"/>
          <w:szCs w:val="20"/>
        </w:rPr>
      </w:pPr>
    </w:p>
    <w:p w14:paraId="0605B4EE" w14:textId="13A86C88" w:rsidR="00434AD5" w:rsidRPr="009A1F9C" w:rsidRDefault="00434AD5" w:rsidP="004B11D4">
      <w:pPr>
        <w:spacing w:after="0" w:line="240" w:lineRule="auto"/>
        <w:ind w:left="1440" w:hanging="1440"/>
        <w:rPr>
          <w:rFonts w:ascii="Arial" w:hAnsi="Arial" w:cs="Arial"/>
          <w:color w:val="FF0000"/>
          <w:sz w:val="20"/>
          <w:szCs w:val="20"/>
        </w:rPr>
      </w:pPr>
      <w:r w:rsidRPr="00434AD5">
        <w:rPr>
          <w:rFonts w:ascii="Arial" w:hAnsi="Arial" w:cs="Arial"/>
          <w:b/>
          <w:color w:val="FF0000"/>
          <w:sz w:val="20"/>
          <w:szCs w:val="20"/>
        </w:rPr>
        <w:t>Answer 22:</w:t>
      </w:r>
      <w:r w:rsidR="006E7E30">
        <w:rPr>
          <w:rFonts w:ascii="Arial" w:hAnsi="Arial" w:cs="Arial"/>
          <w:b/>
          <w:color w:val="FF0000"/>
          <w:sz w:val="20"/>
          <w:szCs w:val="20"/>
        </w:rPr>
        <w:tab/>
      </w:r>
      <w:r w:rsidR="006E7E30" w:rsidRPr="009A1F9C">
        <w:rPr>
          <w:rFonts w:ascii="Arial" w:hAnsi="Arial" w:cs="Arial"/>
          <w:color w:val="FF0000"/>
          <w:sz w:val="20"/>
          <w:szCs w:val="20"/>
        </w:rPr>
        <w:t>HCA and the lead organization will need to coordinate closely on the design of the application and corresponding components of the service delivery model and payment model.  HCA may take on a more prominent role supporting the development of the payment model.  HCA is open to a lead organization serving as the pri</w:t>
      </w:r>
      <w:r w:rsidR="009A1F9C">
        <w:rPr>
          <w:rFonts w:ascii="Arial" w:hAnsi="Arial" w:cs="Arial"/>
          <w:color w:val="FF0000"/>
          <w:sz w:val="20"/>
          <w:szCs w:val="20"/>
        </w:rPr>
        <w:t xml:space="preserve">me applicant and anticipates </w:t>
      </w:r>
      <w:r w:rsidR="006E7E30" w:rsidRPr="009A1F9C">
        <w:rPr>
          <w:rFonts w:ascii="Arial" w:hAnsi="Arial" w:cs="Arial"/>
          <w:color w:val="FF0000"/>
          <w:sz w:val="20"/>
          <w:szCs w:val="20"/>
        </w:rPr>
        <w:t xml:space="preserve">that the lead organization will take on a significant role </w:t>
      </w:r>
      <w:r w:rsidR="009A1F9C">
        <w:rPr>
          <w:rFonts w:ascii="Arial" w:hAnsi="Arial" w:cs="Arial"/>
          <w:color w:val="FF0000"/>
          <w:sz w:val="20"/>
          <w:szCs w:val="20"/>
        </w:rPr>
        <w:t>supporting</w:t>
      </w:r>
      <w:r w:rsidR="006E7E30" w:rsidRPr="009A1F9C">
        <w:rPr>
          <w:rFonts w:ascii="Arial" w:hAnsi="Arial" w:cs="Arial"/>
          <w:color w:val="FF0000"/>
          <w:sz w:val="20"/>
          <w:szCs w:val="20"/>
        </w:rPr>
        <w:t xml:space="preserve"> the application development.</w:t>
      </w:r>
      <w:r w:rsidR="009A1F9C">
        <w:rPr>
          <w:rFonts w:ascii="Arial" w:hAnsi="Arial" w:cs="Arial"/>
          <w:color w:val="FF0000"/>
          <w:sz w:val="20"/>
          <w:szCs w:val="20"/>
        </w:rPr>
        <w:t xml:space="preserve">  The decision regarding prime applicant </w:t>
      </w:r>
      <w:proofErr w:type="gramStart"/>
      <w:r w:rsidR="009A1F9C">
        <w:rPr>
          <w:rFonts w:ascii="Arial" w:hAnsi="Arial" w:cs="Arial"/>
          <w:color w:val="FF0000"/>
          <w:sz w:val="20"/>
          <w:szCs w:val="20"/>
        </w:rPr>
        <w:t>will be made</w:t>
      </w:r>
      <w:proofErr w:type="gramEnd"/>
      <w:r w:rsidR="009A1F9C">
        <w:rPr>
          <w:rFonts w:ascii="Arial" w:hAnsi="Arial" w:cs="Arial"/>
          <w:color w:val="FF0000"/>
          <w:sz w:val="20"/>
          <w:szCs w:val="20"/>
        </w:rPr>
        <w:t xml:space="preserve"> in partnership following selection of the lead organization for the application.</w:t>
      </w:r>
    </w:p>
    <w:p w14:paraId="23FAB5E0" w14:textId="77777777" w:rsidR="00434AD5" w:rsidRDefault="00434AD5" w:rsidP="00F4450C">
      <w:pPr>
        <w:spacing w:after="0" w:line="240" w:lineRule="auto"/>
        <w:rPr>
          <w:rFonts w:ascii="Arial" w:hAnsi="Arial" w:cs="Arial"/>
          <w:color w:val="FF0000"/>
          <w:sz w:val="20"/>
          <w:szCs w:val="20"/>
        </w:rPr>
      </w:pPr>
    </w:p>
    <w:p w14:paraId="64201AAE" w14:textId="77777777" w:rsidR="00E71154" w:rsidRDefault="00E71154" w:rsidP="00F4450C">
      <w:pPr>
        <w:spacing w:after="0" w:line="240" w:lineRule="auto"/>
        <w:rPr>
          <w:rFonts w:ascii="Arial" w:hAnsi="Arial" w:cs="Arial"/>
          <w:color w:val="FF0000"/>
          <w:sz w:val="20"/>
          <w:szCs w:val="20"/>
        </w:rPr>
      </w:pPr>
    </w:p>
    <w:p w14:paraId="3EAC69EA" w14:textId="77777777" w:rsidR="00434AD5" w:rsidRPr="00434AD5" w:rsidRDefault="00434AD5" w:rsidP="00F4450C">
      <w:pPr>
        <w:spacing w:after="0" w:line="240" w:lineRule="auto"/>
        <w:rPr>
          <w:rFonts w:ascii="Arial" w:hAnsi="Arial" w:cs="Arial"/>
          <w:b/>
          <w:color w:val="FF0000"/>
          <w:sz w:val="20"/>
          <w:szCs w:val="20"/>
        </w:rPr>
      </w:pPr>
    </w:p>
    <w:p w14:paraId="776814A4" w14:textId="77777777" w:rsidR="00434AD5" w:rsidRDefault="00434AD5" w:rsidP="00F4450C">
      <w:pPr>
        <w:spacing w:after="0" w:line="240" w:lineRule="auto"/>
        <w:ind w:left="1440" w:hanging="1440"/>
        <w:rPr>
          <w:rFonts w:cstheme="minorHAnsi"/>
        </w:rPr>
      </w:pPr>
      <w:r w:rsidRPr="00434AD5">
        <w:rPr>
          <w:rFonts w:ascii="Arial" w:hAnsi="Arial" w:cs="Arial"/>
          <w:b/>
          <w:sz w:val="20"/>
          <w:szCs w:val="20"/>
        </w:rPr>
        <w:t>Question 23:</w:t>
      </w:r>
      <w:r>
        <w:rPr>
          <w:rFonts w:ascii="Arial" w:hAnsi="Arial" w:cs="Arial"/>
          <w:b/>
          <w:color w:val="FF0000"/>
          <w:sz w:val="20"/>
          <w:szCs w:val="20"/>
        </w:rPr>
        <w:tab/>
      </w:r>
      <w:r w:rsidRPr="00434AD5">
        <w:rPr>
          <w:rFonts w:cstheme="minorHAnsi"/>
        </w:rPr>
        <w:t xml:space="preserve">The Integrated Care for Kids model demonstrates the need for equal partnership between the LO and the SMA (see here for definitions: </w:t>
      </w:r>
      <w:hyperlink r:id="rId12" w:tgtFrame="_blank" w:history="1">
        <w:r w:rsidRPr="00434AD5">
          <w:rPr>
            <w:rFonts w:cstheme="minorHAnsi"/>
            <w:color w:val="0000FF"/>
            <w:u w:val="single"/>
          </w:rPr>
          <w:t>https://innovation.cms.gov/initiatives/integrated-care-for-kids-model/</w:t>
        </w:r>
      </w:hyperlink>
      <w:r w:rsidRPr="00434AD5">
        <w:rPr>
          <w:rFonts w:cstheme="minorHAnsi"/>
        </w:rPr>
        <w:t xml:space="preserve"> ). As a LO, our expertise lies in the development of a care delivery plan, </w:t>
      </w:r>
      <w:r w:rsidRPr="00434AD5">
        <w:rPr>
          <w:rFonts w:cstheme="minorHAnsi"/>
          <w:color w:val="000000"/>
        </w:rPr>
        <w:t xml:space="preserve">provision of services, </w:t>
      </w:r>
      <w:r w:rsidRPr="00434AD5">
        <w:rPr>
          <w:rFonts w:cstheme="minorHAnsi"/>
        </w:rPr>
        <w:t>creation of protocols, and the unification and leadership of community resources that would provide the shared services noted as required in the Integrated Care for Kids model. What is the expertise that HCA brings to this partnership in response to CMS for the Integrated Care for Kids model?</w:t>
      </w:r>
    </w:p>
    <w:p w14:paraId="6EECC139" w14:textId="77777777" w:rsidR="00434AD5" w:rsidRDefault="00434AD5" w:rsidP="00F4450C">
      <w:pPr>
        <w:spacing w:after="0" w:line="240" w:lineRule="auto"/>
        <w:ind w:left="1440" w:hanging="1440"/>
        <w:rPr>
          <w:rFonts w:cstheme="minorHAnsi"/>
          <w:b/>
          <w:color w:val="FF0000"/>
        </w:rPr>
      </w:pPr>
    </w:p>
    <w:p w14:paraId="068BDFA3" w14:textId="048B9635" w:rsidR="00434AD5" w:rsidRDefault="00434AD5" w:rsidP="005C7BFE">
      <w:pPr>
        <w:spacing w:after="0" w:line="240" w:lineRule="auto"/>
        <w:ind w:left="1440" w:hanging="1440"/>
        <w:rPr>
          <w:rFonts w:cstheme="minorHAnsi"/>
          <w:b/>
          <w:color w:val="FF0000"/>
        </w:rPr>
      </w:pPr>
      <w:r>
        <w:rPr>
          <w:rFonts w:cstheme="minorHAnsi"/>
          <w:b/>
          <w:color w:val="FF0000"/>
        </w:rPr>
        <w:t>Answer 23:</w:t>
      </w:r>
      <w:r w:rsidR="006E7E30">
        <w:rPr>
          <w:rFonts w:cstheme="minorHAnsi"/>
          <w:b/>
          <w:color w:val="FF0000"/>
        </w:rPr>
        <w:tab/>
      </w:r>
      <w:r w:rsidR="005C7BFE" w:rsidRPr="005C7BFE">
        <w:rPr>
          <w:rFonts w:cstheme="minorHAnsi"/>
          <w:color w:val="FF0000"/>
        </w:rPr>
        <w:t>HCA and partners bring</w:t>
      </w:r>
      <w:r w:rsidR="006E7E30" w:rsidRPr="009A1F9C">
        <w:rPr>
          <w:rFonts w:cstheme="minorHAnsi"/>
          <w:color w:val="FF0000"/>
        </w:rPr>
        <w:t xml:space="preserve"> support </w:t>
      </w:r>
      <w:r w:rsidR="005C7BFE">
        <w:rPr>
          <w:rFonts w:cstheme="minorHAnsi"/>
          <w:color w:val="FF0000"/>
        </w:rPr>
        <w:t xml:space="preserve">from a diverse set of programs and leaders </w:t>
      </w:r>
      <w:r w:rsidR="006E7E30" w:rsidRPr="009A1F9C">
        <w:rPr>
          <w:rFonts w:cstheme="minorHAnsi"/>
          <w:color w:val="FF0000"/>
        </w:rPr>
        <w:t xml:space="preserve">across </w:t>
      </w:r>
      <w:r w:rsidR="005C7BFE">
        <w:rPr>
          <w:rFonts w:cstheme="minorHAnsi"/>
          <w:color w:val="FF0000"/>
        </w:rPr>
        <w:t xml:space="preserve">state </w:t>
      </w:r>
      <w:r w:rsidR="006E7E30" w:rsidRPr="009A1F9C">
        <w:rPr>
          <w:rFonts w:cstheme="minorHAnsi"/>
          <w:color w:val="FF0000"/>
        </w:rPr>
        <w:t>agencies</w:t>
      </w:r>
      <w:r w:rsidR="009A1F9C">
        <w:rPr>
          <w:rFonts w:cstheme="minorHAnsi"/>
          <w:color w:val="FF0000"/>
        </w:rPr>
        <w:t>, including leadership and subject matter expertise from DCYF, DOH, DSHS and HCA, among others</w:t>
      </w:r>
      <w:r w:rsidR="006E7E30" w:rsidRPr="009A1F9C">
        <w:rPr>
          <w:rFonts w:cstheme="minorHAnsi"/>
          <w:color w:val="FF0000"/>
        </w:rPr>
        <w:t xml:space="preserve">. </w:t>
      </w:r>
      <w:r w:rsidR="009A1F9C">
        <w:rPr>
          <w:rFonts w:cstheme="minorHAnsi"/>
          <w:color w:val="FF0000"/>
        </w:rPr>
        <w:t xml:space="preserve">HCA brings expertise and leadership capacity as the </w:t>
      </w:r>
      <w:r w:rsidR="005C7BFE">
        <w:rPr>
          <w:rFonts w:cstheme="minorHAnsi"/>
          <w:color w:val="FF0000"/>
        </w:rPr>
        <w:t>purchaser of</w:t>
      </w:r>
      <w:r w:rsidR="009A1F9C">
        <w:rPr>
          <w:rFonts w:cstheme="minorHAnsi"/>
          <w:color w:val="FF0000"/>
        </w:rPr>
        <w:t xml:space="preserve"> Medicaid</w:t>
      </w:r>
      <w:r w:rsidR="005C7BFE">
        <w:rPr>
          <w:rFonts w:cstheme="minorHAnsi"/>
          <w:color w:val="FF0000"/>
        </w:rPr>
        <w:t>, School Employee, and Public Employee benefits.</w:t>
      </w:r>
      <w:r w:rsidR="009A1F9C">
        <w:rPr>
          <w:rFonts w:cstheme="minorHAnsi"/>
          <w:color w:val="FF0000"/>
        </w:rPr>
        <w:t xml:space="preserve">  This</w:t>
      </w:r>
      <w:r w:rsidR="005C7BFE">
        <w:rPr>
          <w:rFonts w:cstheme="minorHAnsi"/>
          <w:color w:val="FF0000"/>
        </w:rPr>
        <w:t xml:space="preserve"> expertise and capacity will include</w:t>
      </w:r>
      <w:r w:rsidR="009A1F9C">
        <w:rPr>
          <w:rFonts w:cstheme="minorHAnsi"/>
          <w:color w:val="FF0000"/>
        </w:rPr>
        <w:t xml:space="preserve"> the c</w:t>
      </w:r>
      <w:r w:rsidR="00805D50" w:rsidRPr="009A1F9C">
        <w:rPr>
          <w:rFonts w:cstheme="minorHAnsi"/>
          <w:color w:val="FF0000"/>
        </w:rPr>
        <w:t>o-development of the</w:t>
      </w:r>
      <w:r w:rsidR="009A1F9C">
        <w:rPr>
          <w:rFonts w:cstheme="minorHAnsi"/>
          <w:color w:val="FF0000"/>
        </w:rPr>
        <w:t xml:space="preserve"> payment model, and HCA’s </w:t>
      </w:r>
      <w:r w:rsidR="00805D50" w:rsidRPr="009A1F9C">
        <w:rPr>
          <w:rFonts w:cstheme="minorHAnsi"/>
          <w:color w:val="FF0000"/>
        </w:rPr>
        <w:t xml:space="preserve">ability to deploy the </w:t>
      </w:r>
      <w:r w:rsidR="006E7E30" w:rsidRPr="009A1F9C">
        <w:rPr>
          <w:rFonts w:cstheme="minorHAnsi"/>
          <w:color w:val="FF0000"/>
        </w:rPr>
        <w:t>necessary contract and policy levers to support implementation and s</w:t>
      </w:r>
      <w:r w:rsidR="009A1F9C">
        <w:rPr>
          <w:rFonts w:cstheme="minorHAnsi"/>
          <w:color w:val="FF0000"/>
        </w:rPr>
        <w:t>ustainability of the model.</w:t>
      </w:r>
    </w:p>
    <w:p w14:paraId="3F0F1920" w14:textId="77777777" w:rsidR="00E71154" w:rsidRDefault="00E71154" w:rsidP="00F4450C">
      <w:pPr>
        <w:spacing w:after="0" w:line="240" w:lineRule="auto"/>
        <w:ind w:left="1440" w:hanging="1440"/>
        <w:rPr>
          <w:rFonts w:cstheme="minorHAnsi"/>
          <w:b/>
          <w:color w:val="FF0000"/>
        </w:rPr>
      </w:pPr>
    </w:p>
    <w:p w14:paraId="4143C135" w14:textId="77777777" w:rsidR="00434AD5" w:rsidRDefault="00434AD5" w:rsidP="00F4450C">
      <w:pPr>
        <w:spacing w:after="0" w:line="240" w:lineRule="auto"/>
        <w:ind w:left="1440" w:hanging="1440"/>
        <w:rPr>
          <w:rFonts w:cstheme="minorHAnsi"/>
          <w:b/>
          <w:color w:val="FF0000"/>
        </w:rPr>
      </w:pPr>
    </w:p>
    <w:p w14:paraId="5F57ED43" w14:textId="77777777" w:rsidR="00434AD5" w:rsidRDefault="00434AD5" w:rsidP="00F4450C">
      <w:pPr>
        <w:spacing w:after="0" w:line="240" w:lineRule="auto"/>
        <w:ind w:left="1440" w:hanging="1440"/>
        <w:rPr>
          <w:rFonts w:cstheme="minorHAnsi"/>
          <w:color w:val="000000"/>
        </w:rPr>
      </w:pPr>
      <w:r w:rsidRPr="00434AD5">
        <w:rPr>
          <w:rFonts w:cstheme="minorHAnsi"/>
          <w:b/>
        </w:rPr>
        <w:t>Question 24:</w:t>
      </w:r>
      <w:r>
        <w:rPr>
          <w:rFonts w:cstheme="minorHAnsi"/>
          <w:b/>
        </w:rPr>
        <w:tab/>
      </w:r>
      <w:r w:rsidRPr="00434AD5">
        <w:rPr>
          <w:rFonts w:cstheme="minorHAnsi"/>
          <w:i/>
        </w:rPr>
        <w:t xml:space="preserve">(Pg. 4)  </w:t>
      </w:r>
      <w:r w:rsidRPr="00434AD5">
        <w:rPr>
          <w:rFonts w:cstheme="minorHAnsi"/>
        </w:rPr>
        <w:t xml:space="preserve"> </w:t>
      </w:r>
      <w:r w:rsidRPr="00434AD5">
        <w:rPr>
          <w:rFonts w:cstheme="minorHAnsi"/>
          <w:color w:val="000000"/>
        </w:rPr>
        <w:t>Funding – On pg</w:t>
      </w:r>
      <w:r w:rsidR="00E71154">
        <w:rPr>
          <w:rFonts w:cstheme="minorHAnsi"/>
          <w:color w:val="000000"/>
        </w:rPr>
        <w:t>.</w:t>
      </w:r>
      <w:r w:rsidRPr="00434AD5">
        <w:rPr>
          <w:rFonts w:cstheme="minorHAnsi"/>
          <w:color w:val="000000"/>
        </w:rPr>
        <w:t xml:space="preserve"> 4 under 1.4 Funding it notes that funding from CMS may not be available for the Lead Organization.  Please clarify intent.  Is HCA saying that no funding from CMS will be carved out for the LO and its affiliates working on the project?</w:t>
      </w:r>
    </w:p>
    <w:p w14:paraId="4B360977" w14:textId="77777777" w:rsidR="00434AD5" w:rsidRDefault="00434AD5" w:rsidP="00F4450C">
      <w:pPr>
        <w:spacing w:after="0" w:line="240" w:lineRule="auto"/>
        <w:ind w:left="1440" w:hanging="1440"/>
        <w:rPr>
          <w:rFonts w:cstheme="minorHAnsi"/>
          <w:b/>
        </w:rPr>
      </w:pPr>
    </w:p>
    <w:p w14:paraId="73160A2C" w14:textId="39B98B07" w:rsidR="00434AD5" w:rsidRDefault="00434AD5" w:rsidP="00F4450C">
      <w:pPr>
        <w:spacing w:after="0" w:line="240" w:lineRule="auto"/>
        <w:ind w:left="1440" w:hanging="1440"/>
        <w:rPr>
          <w:rFonts w:cstheme="minorHAnsi"/>
          <w:b/>
          <w:color w:val="FF0000"/>
        </w:rPr>
      </w:pPr>
      <w:r>
        <w:rPr>
          <w:rFonts w:cstheme="minorHAnsi"/>
          <w:b/>
          <w:color w:val="FF0000"/>
        </w:rPr>
        <w:lastRenderedPageBreak/>
        <w:t>Answer 24</w:t>
      </w:r>
      <w:r w:rsidRPr="00434AD5">
        <w:rPr>
          <w:rFonts w:cstheme="minorHAnsi"/>
          <w:b/>
          <w:color w:val="FF0000"/>
        </w:rPr>
        <w:t>:</w:t>
      </w:r>
      <w:r w:rsidR="006E7E30">
        <w:rPr>
          <w:rFonts w:cstheme="minorHAnsi"/>
          <w:b/>
          <w:color w:val="FF0000"/>
        </w:rPr>
        <w:tab/>
      </w:r>
      <w:r w:rsidR="002E5F5E" w:rsidRPr="00E803FA">
        <w:rPr>
          <w:rFonts w:cstheme="minorHAnsi"/>
          <w:color w:val="FF0000"/>
        </w:rPr>
        <w:t>That is not the expectation</w:t>
      </w:r>
      <w:r w:rsidR="00805D50" w:rsidRPr="00E803FA">
        <w:rPr>
          <w:rFonts w:cstheme="minorHAnsi"/>
          <w:color w:val="FF0000"/>
        </w:rPr>
        <w:t xml:space="preserve">, but </w:t>
      </w:r>
      <w:r w:rsidR="00E803FA">
        <w:rPr>
          <w:rFonts w:cstheme="minorHAnsi"/>
          <w:color w:val="FF0000"/>
        </w:rPr>
        <w:t>HCA</w:t>
      </w:r>
      <w:r w:rsidR="00805D50" w:rsidRPr="00E803FA">
        <w:rPr>
          <w:rFonts w:cstheme="minorHAnsi"/>
          <w:color w:val="FF0000"/>
        </w:rPr>
        <w:t xml:space="preserve"> will know more when the NOFO </w:t>
      </w:r>
      <w:proofErr w:type="gramStart"/>
      <w:r w:rsidR="00805D50" w:rsidRPr="00E803FA">
        <w:rPr>
          <w:rFonts w:cstheme="minorHAnsi"/>
          <w:color w:val="FF0000"/>
        </w:rPr>
        <w:t>is released</w:t>
      </w:r>
      <w:proofErr w:type="gramEnd"/>
      <w:r w:rsidR="002E5F5E" w:rsidRPr="00E803FA">
        <w:rPr>
          <w:rFonts w:cstheme="minorHAnsi"/>
          <w:color w:val="FF0000"/>
        </w:rPr>
        <w:t xml:space="preserve">. It </w:t>
      </w:r>
      <w:proofErr w:type="gramStart"/>
      <w:r w:rsidR="002E5F5E" w:rsidRPr="00E803FA">
        <w:rPr>
          <w:rFonts w:cstheme="minorHAnsi"/>
          <w:color w:val="FF0000"/>
        </w:rPr>
        <w:t>is anticipated</w:t>
      </w:r>
      <w:proofErr w:type="gramEnd"/>
      <w:r w:rsidR="002E5F5E" w:rsidRPr="00E803FA">
        <w:rPr>
          <w:rFonts w:cstheme="minorHAnsi"/>
          <w:color w:val="FF0000"/>
        </w:rPr>
        <w:t xml:space="preserve"> that planning funds will be made available to support the lead organization’s effo</w:t>
      </w:r>
      <w:r w:rsidR="00805D50" w:rsidRPr="00E803FA">
        <w:rPr>
          <w:rFonts w:cstheme="minorHAnsi"/>
          <w:color w:val="FF0000"/>
        </w:rPr>
        <w:t>rts</w:t>
      </w:r>
      <w:r w:rsidR="002E5F5E" w:rsidRPr="00E803FA">
        <w:rPr>
          <w:rFonts w:cstheme="minorHAnsi"/>
          <w:color w:val="FF0000"/>
        </w:rPr>
        <w:t>.  This language was inclu</w:t>
      </w:r>
      <w:r w:rsidR="00805D50" w:rsidRPr="00E803FA">
        <w:rPr>
          <w:rFonts w:cstheme="minorHAnsi"/>
          <w:color w:val="FF0000"/>
        </w:rPr>
        <w:t xml:space="preserve">ded in the RFA to emphasize that </w:t>
      </w:r>
      <w:r w:rsidR="002E5F5E" w:rsidRPr="00E803FA">
        <w:rPr>
          <w:rFonts w:cstheme="minorHAnsi"/>
          <w:color w:val="FF0000"/>
        </w:rPr>
        <w:t xml:space="preserve">this RFA does not guarantee a successful application and does not </w:t>
      </w:r>
      <w:r w:rsidR="00805D50" w:rsidRPr="00E803FA">
        <w:rPr>
          <w:rFonts w:cstheme="minorHAnsi"/>
          <w:color w:val="FF0000"/>
        </w:rPr>
        <w:t>guarantee</w:t>
      </w:r>
      <w:r w:rsidR="002E5F5E" w:rsidRPr="00E803FA">
        <w:rPr>
          <w:rFonts w:cstheme="minorHAnsi"/>
          <w:color w:val="FF0000"/>
        </w:rPr>
        <w:t xml:space="preserve"> any funding absent a successful application.</w:t>
      </w:r>
    </w:p>
    <w:p w14:paraId="2F912210" w14:textId="77777777" w:rsidR="00434AD5" w:rsidRDefault="00434AD5" w:rsidP="00F4450C">
      <w:pPr>
        <w:spacing w:after="0" w:line="240" w:lineRule="auto"/>
        <w:ind w:left="1440" w:hanging="1440"/>
        <w:rPr>
          <w:rFonts w:cstheme="minorHAnsi"/>
          <w:b/>
          <w:color w:val="FF0000"/>
        </w:rPr>
      </w:pPr>
    </w:p>
    <w:p w14:paraId="6DD47ED3" w14:textId="77777777" w:rsidR="00434AD5" w:rsidRDefault="00434AD5" w:rsidP="00F4450C">
      <w:pPr>
        <w:spacing w:after="0" w:line="240" w:lineRule="auto"/>
        <w:ind w:left="1440" w:hanging="1440"/>
        <w:rPr>
          <w:rFonts w:cstheme="minorHAnsi"/>
          <w:b/>
          <w:color w:val="FF0000"/>
        </w:rPr>
      </w:pPr>
    </w:p>
    <w:p w14:paraId="0C125BA4" w14:textId="77777777" w:rsidR="00434AD5" w:rsidRPr="00B20309" w:rsidRDefault="00434AD5" w:rsidP="00F4450C">
      <w:pPr>
        <w:spacing w:after="0" w:line="240" w:lineRule="auto"/>
        <w:ind w:left="1440" w:hanging="1440"/>
        <w:rPr>
          <w:rFonts w:ascii="Calibri" w:hAnsi="Calibri" w:cs="Calibri"/>
          <w:color w:val="000000"/>
        </w:rPr>
      </w:pPr>
      <w:r w:rsidRPr="00434AD5">
        <w:rPr>
          <w:rFonts w:cstheme="minorHAnsi"/>
          <w:b/>
        </w:rPr>
        <w:t>Question 25:</w:t>
      </w:r>
      <w:r>
        <w:rPr>
          <w:rFonts w:cstheme="minorHAnsi"/>
          <w:b/>
        </w:rPr>
        <w:tab/>
      </w:r>
      <w:r w:rsidRPr="00434AD5">
        <w:rPr>
          <w:rFonts w:ascii="Calibri" w:hAnsi="Calibri" w:cs="Calibri"/>
          <w:color w:val="000000"/>
        </w:rPr>
        <w:t xml:space="preserve">In order to determine the Scope of Work that the LO will be writing for the CMS application, the LO will need to identify its projected budget early on in the grant preparation process, prior to grant submission.  The HCA RFP notes that funding </w:t>
      </w:r>
      <w:proofErr w:type="gramStart"/>
      <w:r w:rsidRPr="00434AD5">
        <w:rPr>
          <w:rFonts w:ascii="Calibri" w:hAnsi="Calibri" w:cs="Calibri"/>
          <w:color w:val="000000"/>
        </w:rPr>
        <w:t>will not be decided</w:t>
      </w:r>
      <w:proofErr w:type="gramEnd"/>
      <w:r w:rsidRPr="00434AD5">
        <w:rPr>
          <w:rFonts w:ascii="Calibri" w:hAnsi="Calibri" w:cs="Calibri"/>
          <w:color w:val="000000"/>
        </w:rPr>
        <w:t xml:space="preserve"> prior to award.  Please provide more context around this statement in the in </w:t>
      </w:r>
      <w:r w:rsidRPr="00B20309">
        <w:rPr>
          <w:rFonts w:ascii="Calibri" w:hAnsi="Calibri" w:cs="Calibri"/>
          <w:color w:val="000000"/>
        </w:rPr>
        <w:t>RFP. What is your reason for this? How would you propose we work around this obstacle?</w:t>
      </w:r>
    </w:p>
    <w:p w14:paraId="37526723" w14:textId="77777777" w:rsidR="001C3055" w:rsidRPr="00B20309" w:rsidRDefault="001C3055" w:rsidP="00F4450C">
      <w:pPr>
        <w:spacing w:after="0" w:line="240" w:lineRule="auto"/>
        <w:ind w:left="1440" w:hanging="1440"/>
        <w:rPr>
          <w:rFonts w:cstheme="minorHAnsi"/>
          <w:b/>
        </w:rPr>
      </w:pPr>
    </w:p>
    <w:p w14:paraId="6F4B8B45" w14:textId="52221C4A" w:rsidR="001C3055" w:rsidRPr="00E803FA" w:rsidRDefault="001C3055" w:rsidP="00F4450C">
      <w:pPr>
        <w:spacing w:after="0" w:line="240" w:lineRule="auto"/>
        <w:ind w:left="1440" w:hanging="1440"/>
        <w:rPr>
          <w:rFonts w:cstheme="minorHAnsi"/>
          <w:color w:val="FF0000"/>
        </w:rPr>
      </w:pPr>
      <w:r w:rsidRPr="00B20309">
        <w:rPr>
          <w:rFonts w:cstheme="minorHAnsi"/>
          <w:b/>
          <w:color w:val="FF0000"/>
        </w:rPr>
        <w:t>Answer 25:</w:t>
      </w:r>
      <w:r w:rsidR="00AC1B73">
        <w:rPr>
          <w:rFonts w:cstheme="minorHAnsi"/>
          <w:b/>
          <w:color w:val="FF0000"/>
        </w:rPr>
        <w:tab/>
      </w:r>
      <w:r w:rsidR="00E803FA" w:rsidRPr="00E803FA">
        <w:rPr>
          <w:rFonts w:cstheme="minorHAnsi"/>
          <w:color w:val="FF0000"/>
        </w:rPr>
        <w:t>HCA</w:t>
      </w:r>
      <w:r w:rsidR="00AC1B73" w:rsidRPr="00E803FA">
        <w:rPr>
          <w:rFonts w:cstheme="minorHAnsi"/>
          <w:color w:val="FF0000"/>
        </w:rPr>
        <w:t xml:space="preserve"> </w:t>
      </w:r>
      <w:r w:rsidR="00E803FA" w:rsidRPr="00E803FA">
        <w:rPr>
          <w:rFonts w:cstheme="minorHAnsi"/>
          <w:color w:val="FF0000"/>
        </w:rPr>
        <w:t>anticipates</w:t>
      </w:r>
      <w:r w:rsidR="00AC1B73" w:rsidRPr="00E803FA">
        <w:rPr>
          <w:rFonts w:cstheme="minorHAnsi"/>
          <w:color w:val="FF0000"/>
        </w:rPr>
        <w:t xml:space="preserve"> a proposed budget will be included in the application, including rationale related to the requested award amount (up to $16m).  </w:t>
      </w:r>
      <w:r w:rsidR="00156037" w:rsidRPr="00E803FA">
        <w:rPr>
          <w:rFonts w:cstheme="minorHAnsi"/>
          <w:color w:val="FF0000"/>
        </w:rPr>
        <w:t xml:space="preserve">Ideally, the model will have some flexibility depending on the final award amount, if the application is successful.  At this </w:t>
      </w:r>
      <w:proofErr w:type="gramStart"/>
      <w:r w:rsidR="00156037" w:rsidRPr="00E803FA">
        <w:rPr>
          <w:rFonts w:cstheme="minorHAnsi"/>
          <w:color w:val="FF0000"/>
        </w:rPr>
        <w:t>time</w:t>
      </w:r>
      <w:proofErr w:type="gramEnd"/>
      <w:r w:rsidR="00156037" w:rsidRPr="00E803FA">
        <w:rPr>
          <w:rFonts w:cstheme="minorHAnsi"/>
          <w:color w:val="FF0000"/>
        </w:rPr>
        <w:t xml:space="preserve"> we do not know how CMS will approach potential negotiations regarding the award amoun</w:t>
      </w:r>
      <w:r w:rsidR="00E803FA">
        <w:rPr>
          <w:rFonts w:cstheme="minorHAnsi"/>
          <w:color w:val="FF0000"/>
        </w:rPr>
        <w:t>t and related proposal</w:t>
      </w:r>
      <w:r w:rsidR="00156037" w:rsidRPr="00E803FA">
        <w:rPr>
          <w:rFonts w:cstheme="minorHAnsi"/>
          <w:color w:val="FF0000"/>
        </w:rPr>
        <w:t>.</w:t>
      </w:r>
    </w:p>
    <w:p w14:paraId="402AC2F0" w14:textId="77777777" w:rsidR="001C3055" w:rsidRDefault="001C3055" w:rsidP="00F4450C">
      <w:pPr>
        <w:spacing w:after="0" w:line="240" w:lineRule="auto"/>
        <w:ind w:left="1440" w:hanging="1440"/>
        <w:rPr>
          <w:rFonts w:cstheme="minorHAnsi"/>
          <w:b/>
          <w:color w:val="FF0000"/>
        </w:rPr>
      </w:pPr>
    </w:p>
    <w:p w14:paraId="6B2EE220" w14:textId="77777777" w:rsidR="001C3055" w:rsidRPr="00B20309" w:rsidRDefault="001C3055" w:rsidP="00F4450C">
      <w:pPr>
        <w:spacing w:after="0" w:line="240" w:lineRule="auto"/>
        <w:ind w:left="1440" w:hanging="1440"/>
        <w:rPr>
          <w:rFonts w:cstheme="minorHAnsi"/>
          <w:b/>
          <w:color w:val="FF0000"/>
        </w:rPr>
      </w:pPr>
    </w:p>
    <w:p w14:paraId="00A5E887" w14:textId="77777777" w:rsidR="001C3055" w:rsidRPr="00B20309" w:rsidRDefault="001C3055" w:rsidP="00F4450C">
      <w:pPr>
        <w:spacing w:after="0" w:line="240" w:lineRule="auto"/>
        <w:ind w:left="1440" w:hanging="1440"/>
        <w:rPr>
          <w:rFonts w:cstheme="minorHAnsi"/>
          <w:color w:val="000000"/>
        </w:rPr>
      </w:pPr>
      <w:r w:rsidRPr="00B20309">
        <w:rPr>
          <w:rFonts w:cstheme="minorHAnsi"/>
          <w:b/>
          <w:color w:val="000000" w:themeColor="text1"/>
        </w:rPr>
        <w:t>Question 26:</w:t>
      </w:r>
      <w:r w:rsidRPr="00B20309">
        <w:rPr>
          <w:rFonts w:cstheme="minorHAnsi"/>
          <w:b/>
          <w:color w:val="000000" w:themeColor="text1"/>
        </w:rPr>
        <w:tab/>
      </w:r>
      <w:r w:rsidRPr="00BA2803">
        <w:rPr>
          <w:rFonts w:cstheme="minorHAnsi"/>
          <w:i/>
          <w:color w:val="000000" w:themeColor="text1"/>
        </w:rPr>
        <w:t xml:space="preserve">(Section 3.11)  </w:t>
      </w:r>
      <w:r w:rsidR="00E71154" w:rsidRPr="00BA2803">
        <w:rPr>
          <w:rFonts w:cstheme="minorHAnsi"/>
          <w:color w:val="000000" w:themeColor="text1"/>
        </w:rPr>
        <w:t xml:space="preserve"> </w:t>
      </w:r>
      <w:r w:rsidRPr="00BA2803">
        <w:rPr>
          <w:rFonts w:cstheme="minorHAnsi"/>
          <w:color w:val="000000"/>
        </w:rPr>
        <w:t>Business Information – Under 3.1.1. Business Information items 3.1.1.4 and 3.1.1.5 require us to identify any current or former state employee employed by our institution and every subcontractor with State of Washington affiliation. We would like to know why you need this information. Our institution employs 18,000 Washingtonians and many subcontractors, the administrative burden of identifying all of our employees/contractors that have worked for the State of Washington may be beyond our abilities within the timeframe allowed. If we are unable to provide this information will this make our application ineligible.</w:t>
      </w:r>
    </w:p>
    <w:p w14:paraId="77D6431B" w14:textId="77777777" w:rsidR="003C5966" w:rsidRPr="00B20309" w:rsidRDefault="003C5966" w:rsidP="00F4450C">
      <w:pPr>
        <w:spacing w:after="0" w:line="240" w:lineRule="auto"/>
        <w:ind w:left="1440" w:hanging="1440"/>
        <w:rPr>
          <w:rFonts w:cstheme="minorHAnsi"/>
          <w:color w:val="000000" w:themeColor="text1"/>
        </w:rPr>
      </w:pPr>
    </w:p>
    <w:p w14:paraId="0C660470" w14:textId="4201100B" w:rsidR="005B0B6E" w:rsidRDefault="00772307" w:rsidP="005B0B6E">
      <w:pPr>
        <w:ind w:left="1440" w:hanging="1440"/>
      </w:pPr>
      <w:r>
        <w:rPr>
          <w:rFonts w:cstheme="minorHAnsi"/>
          <w:b/>
          <w:color w:val="FF0000"/>
        </w:rPr>
        <w:t>Answer 26</w:t>
      </w:r>
      <w:r w:rsidR="003C5966" w:rsidRPr="00B20309">
        <w:rPr>
          <w:rFonts w:cstheme="minorHAnsi"/>
          <w:b/>
          <w:color w:val="FF0000"/>
        </w:rPr>
        <w:t>:</w:t>
      </w:r>
      <w:r w:rsidR="00BA2803">
        <w:rPr>
          <w:rFonts w:cstheme="minorHAnsi"/>
          <w:b/>
          <w:color w:val="FF0000"/>
        </w:rPr>
        <w:tab/>
      </w:r>
      <w:r w:rsidR="005B0B6E" w:rsidRPr="00A54F13">
        <w:rPr>
          <w:rFonts w:cstheme="minorHAnsi"/>
          <w:color w:val="FF0000"/>
        </w:rPr>
        <w:t>There are</w:t>
      </w:r>
      <w:r w:rsidR="005B0B6E" w:rsidRPr="00A54F13">
        <w:rPr>
          <w:rFonts w:cstheme="minorHAnsi"/>
          <w:b/>
          <w:color w:val="FF0000"/>
        </w:rPr>
        <w:t xml:space="preserve"> </w:t>
      </w:r>
      <w:r w:rsidR="005B0B6E" w:rsidRPr="00A54F13">
        <w:rPr>
          <w:color w:val="FF0000"/>
        </w:rPr>
        <w:t xml:space="preserve">specific restrictions that apply to contracting with current or former state employees pursuant to chapter </w:t>
      </w:r>
      <w:hyperlink r:id="rId13" w:history="1">
        <w:r w:rsidR="005B0B6E" w:rsidRPr="00157599">
          <w:rPr>
            <w:rStyle w:val="Hyperlink"/>
          </w:rPr>
          <w:t>RCW 42.52.090</w:t>
        </w:r>
      </w:hyperlink>
      <w:r w:rsidR="005B0B6E">
        <w:t>.</w:t>
      </w:r>
      <w:r w:rsidR="005B0B6E" w:rsidRPr="008D643D">
        <w:t xml:space="preserve"> </w:t>
      </w:r>
    </w:p>
    <w:p w14:paraId="40C4EF30" w14:textId="0F993EC5" w:rsidR="005B0B6E" w:rsidRDefault="005B0B6E" w:rsidP="005B0B6E">
      <w:pPr>
        <w:spacing w:after="0" w:line="240" w:lineRule="auto"/>
        <w:ind w:left="1440" w:hanging="1440"/>
        <w:rPr>
          <w:rFonts w:cstheme="minorHAnsi"/>
          <w:color w:val="FF0000"/>
        </w:rPr>
      </w:pPr>
      <w:r>
        <w:rPr>
          <w:rFonts w:cstheme="minorHAnsi"/>
          <w:b/>
          <w:color w:val="FF0000"/>
        </w:rPr>
        <w:tab/>
      </w:r>
      <w:r w:rsidRPr="00A54F13">
        <w:rPr>
          <w:rFonts w:cstheme="minorHAnsi"/>
          <w:color w:val="FF0000"/>
        </w:rPr>
        <w:t>The intent behind</w:t>
      </w:r>
      <w:r>
        <w:rPr>
          <w:rFonts w:cstheme="minorHAnsi"/>
          <w:b/>
          <w:color w:val="FF0000"/>
        </w:rPr>
        <w:t xml:space="preserve"> </w:t>
      </w:r>
      <w:r w:rsidRPr="00A54F13">
        <w:rPr>
          <w:rFonts w:cstheme="minorHAnsi"/>
          <w:color w:val="FF0000"/>
        </w:rPr>
        <w:t xml:space="preserve">Section 3.1.14. </w:t>
      </w:r>
      <w:proofErr w:type="gramStart"/>
      <w:r>
        <w:rPr>
          <w:rFonts w:cstheme="minorHAnsi"/>
          <w:color w:val="FF0000"/>
        </w:rPr>
        <w:t>is</w:t>
      </w:r>
      <w:proofErr w:type="gramEnd"/>
      <w:r>
        <w:rPr>
          <w:rFonts w:cstheme="minorHAnsi"/>
          <w:color w:val="FF0000"/>
        </w:rPr>
        <w:t xml:space="preserve"> for former state employees that would be working under this project only. </w:t>
      </w:r>
    </w:p>
    <w:p w14:paraId="5E18EE9C" w14:textId="77777777" w:rsidR="005B0B6E" w:rsidRDefault="005B0B6E" w:rsidP="005B0B6E">
      <w:pPr>
        <w:spacing w:after="0" w:line="240" w:lineRule="auto"/>
        <w:ind w:left="1440" w:hanging="1440"/>
        <w:rPr>
          <w:rFonts w:cstheme="minorHAnsi"/>
          <w:color w:val="FF0000"/>
        </w:rPr>
      </w:pPr>
    </w:p>
    <w:p w14:paraId="7D86BF45" w14:textId="77777777" w:rsidR="005B0B6E" w:rsidRDefault="005B0B6E" w:rsidP="005B0B6E">
      <w:pPr>
        <w:spacing w:after="0" w:line="240" w:lineRule="auto"/>
        <w:ind w:left="1440"/>
        <w:rPr>
          <w:rFonts w:cstheme="minorHAnsi"/>
          <w:color w:val="FF0000"/>
        </w:rPr>
      </w:pPr>
      <w:r>
        <w:rPr>
          <w:rFonts w:cstheme="minorHAnsi"/>
          <w:color w:val="FF0000"/>
        </w:rPr>
        <w:t xml:space="preserve">Any former state employees would need to </w:t>
      </w:r>
      <w:proofErr w:type="gramStart"/>
      <w:r>
        <w:rPr>
          <w:rFonts w:cstheme="minorHAnsi"/>
          <w:color w:val="FF0000"/>
        </w:rPr>
        <w:t>be identified</w:t>
      </w:r>
      <w:proofErr w:type="gramEnd"/>
      <w:r>
        <w:rPr>
          <w:rFonts w:cstheme="minorHAnsi"/>
          <w:color w:val="FF0000"/>
        </w:rPr>
        <w:t xml:space="preserve"> to be eligible for this project.</w:t>
      </w:r>
    </w:p>
    <w:p w14:paraId="5F62826B" w14:textId="77777777" w:rsidR="003C5966" w:rsidRDefault="003C5966" w:rsidP="00F4450C">
      <w:pPr>
        <w:spacing w:after="0" w:line="240" w:lineRule="auto"/>
        <w:ind w:left="1440" w:hanging="1440"/>
        <w:rPr>
          <w:rFonts w:cstheme="minorHAnsi"/>
          <w:b/>
          <w:color w:val="FF0000"/>
        </w:rPr>
      </w:pPr>
    </w:p>
    <w:p w14:paraId="61323D4D" w14:textId="77777777" w:rsidR="00E71154" w:rsidRPr="00B20309" w:rsidRDefault="00E71154" w:rsidP="00F4450C">
      <w:pPr>
        <w:spacing w:after="0" w:line="240" w:lineRule="auto"/>
        <w:ind w:left="1440" w:hanging="1440"/>
        <w:rPr>
          <w:rFonts w:cstheme="minorHAnsi"/>
          <w:b/>
          <w:color w:val="FF0000"/>
        </w:rPr>
      </w:pPr>
    </w:p>
    <w:p w14:paraId="5F66AB88" w14:textId="080AC15D" w:rsidR="003C5966" w:rsidRPr="00B20309" w:rsidRDefault="00772307" w:rsidP="003C5966">
      <w:pPr>
        <w:spacing w:after="0" w:line="240" w:lineRule="auto"/>
        <w:ind w:left="1440" w:hanging="1440"/>
        <w:rPr>
          <w:rFonts w:cstheme="minorHAnsi"/>
          <w:color w:val="000000"/>
        </w:rPr>
      </w:pPr>
      <w:r>
        <w:rPr>
          <w:rFonts w:cstheme="minorHAnsi"/>
          <w:b/>
          <w:color w:val="000000" w:themeColor="text1"/>
        </w:rPr>
        <w:t>Question 27</w:t>
      </w:r>
      <w:r w:rsidR="003C5966" w:rsidRPr="00BA2803">
        <w:rPr>
          <w:rFonts w:cstheme="minorHAnsi"/>
          <w:b/>
          <w:color w:val="000000" w:themeColor="text1"/>
        </w:rPr>
        <w:t>:</w:t>
      </w:r>
      <w:r w:rsidR="003C5966" w:rsidRPr="00BA2803">
        <w:rPr>
          <w:rFonts w:cstheme="minorHAnsi"/>
          <w:b/>
          <w:color w:val="000000" w:themeColor="text1"/>
        </w:rPr>
        <w:tab/>
      </w:r>
      <w:r w:rsidR="003C5966" w:rsidRPr="00BA2803">
        <w:rPr>
          <w:rFonts w:cstheme="minorHAnsi"/>
          <w:i/>
          <w:color w:val="000000" w:themeColor="text1"/>
        </w:rPr>
        <w:t xml:space="preserve">(Section 1.3)  </w:t>
      </w:r>
      <w:r w:rsidR="00C27A92" w:rsidRPr="00BA2803">
        <w:rPr>
          <w:rFonts w:cstheme="minorHAnsi"/>
          <w:i/>
          <w:color w:val="000000" w:themeColor="text1"/>
        </w:rPr>
        <w:t xml:space="preserve"> </w:t>
      </w:r>
      <w:r w:rsidR="003C5966" w:rsidRPr="00BA2803">
        <w:rPr>
          <w:rFonts w:cstheme="minorHAnsi"/>
          <w:color w:val="000000"/>
        </w:rPr>
        <w:t xml:space="preserve">Minimum Qualifications – On </w:t>
      </w:r>
      <w:proofErr w:type="spellStart"/>
      <w:r w:rsidR="003C5966" w:rsidRPr="00BA2803">
        <w:rPr>
          <w:rFonts w:cstheme="minorHAnsi"/>
          <w:color w:val="000000"/>
        </w:rPr>
        <w:t>pg</w:t>
      </w:r>
      <w:proofErr w:type="spellEnd"/>
      <w:r w:rsidR="003C5966" w:rsidRPr="00BA2803">
        <w:rPr>
          <w:rFonts w:cstheme="minorHAnsi"/>
          <w:color w:val="000000"/>
        </w:rPr>
        <w:t xml:space="preserve"> 4 under 1.3 the minimum qualifications </w:t>
      </w:r>
      <w:proofErr w:type="gramStart"/>
      <w:r w:rsidR="003C5966" w:rsidRPr="00BA2803">
        <w:rPr>
          <w:rFonts w:cstheme="minorHAnsi"/>
          <w:color w:val="000000"/>
        </w:rPr>
        <w:t>are listed</w:t>
      </w:r>
      <w:proofErr w:type="gramEnd"/>
      <w:r w:rsidR="003C5966" w:rsidRPr="00BA2803">
        <w:rPr>
          <w:rFonts w:cstheme="minorHAnsi"/>
          <w:color w:val="000000"/>
        </w:rPr>
        <w:t xml:space="preserve">. How does this part of the application need to </w:t>
      </w:r>
      <w:proofErr w:type="gramStart"/>
      <w:r w:rsidR="003C5966" w:rsidRPr="00BA2803">
        <w:rPr>
          <w:rFonts w:cstheme="minorHAnsi"/>
          <w:color w:val="000000"/>
        </w:rPr>
        <w:t>be formatted</w:t>
      </w:r>
      <w:proofErr w:type="gramEnd"/>
      <w:r w:rsidR="003C5966" w:rsidRPr="00BA2803">
        <w:rPr>
          <w:rFonts w:cstheme="minorHAnsi"/>
          <w:color w:val="000000"/>
        </w:rPr>
        <w:t>? Will a written statement satisfy this? Do we need to include our license to do business in the SOW?</w:t>
      </w:r>
    </w:p>
    <w:p w14:paraId="00CF6437" w14:textId="77777777" w:rsidR="003C2958" w:rsidRPr="00B20309" w:rsidRDefault="003C2958" w:rsidP="003C5966">
      <w:pPr>
        <w:spacing w:after="0" w:line="240" w:lineRule="auto"/>
        <w:ind w:left="1440" w:hanging="1440"/>
        <w:rPr>
          <w:rFonts w:cstheme="minorHAnsi"/>
          <w:b/>
          <w:color w:val="000000" w:themeColor="text1"/>
        </w:rPr>
      </w:pPr>
    </w:p>
    <w:p w14:paraId="1CAEA075" w14:textId="74634417" w:rsidR="006B1CAA" w:rsidRDefault="00772307" w:rsidP="00BA2803">
      <w:pPr>
        <w:ind w:left="1440" w:hanging="1440"/>
      </w:pPr>
      <w:r>
        <w:rPr>
          <w:rFonts w:cstheme="minorHAnsi"/>
          <w:b/>
          <w:color w:val="FF0000"/>
        </w:rPr>
        <w:t>Answer 27</w:t>
      </w:r>
      <w:r w:rsidR="003C2958" w:rsidRPr="00B20309">
        <w:rPr>
          <w:rFonts w:cstheme="minorHAnsi"/>
          <w:b/>
          <w:color w:val="FF0000"/>
        </w:rPr>
        <w:t>:</w:t>
      </w:r>
      <w:r w:rsidR="00BA2803">
        <w:rPr>
          <w:rFonts w:cstheme="minorHAnsi"/>
          <w:b/>
          <w:color w:val="FF0000"/>
        </w:rPr>
        <w:tab/>
      </w:r>
      <w:r w:rsidR="00BA2803" w:rsidRPr="006F6ECD">
        <w:rPr>
          <w:rFonts w:cstheme="minorHAnsi"/>
          <w:color w:val="FF0000"/>
        </w:rPr>
        <w:t>Yes, a written statement will be satisfactory.  Please refer to the RFA</w:t>
      </w:r>
      <w:r w:rsidR="00BA2803" w:rsidRPr="006F6ECD">
        <w:rPr>
          <w:rFonts w:cstheme="minorHAnsi"/>
          <w:i/>
          <w:color w:val="FF0000"/>
        </w:rPr>
        <w:t>, Section 3</w:t>
      </w:r>
      <w:r w:rsidR="00BA2803" w:rsidRPr="006F6ECD">
        <w:rPr>
          <w:rFonts w:cstheme="minorHAnsi"/>
          <w:color w:val="FF0000"/>
        </w:rPr>
        <w:t xml:space="preserve">. </w:t>
      </w:r>
      <w:r w:rsidR="00BA2803" w:rsidRPr="006F6ECD">
        <w:rPr>
          <w:rFonts w:cstheme="minorHAnsi"/>
          <w:i/>
          <w:color w:val="FF0000"/>
        </w:rPr>
        <w:t>“Application Contents”</w:t>
      </w:r>
      <w:r w:rsidR="00BA2803" w:rsidRPr="006F6ECD">
        <w:rPr>
          <w:rFonts w:cstheme="minorHAnsi"/>
          <w:color w:val="FF0000"/>
        </w:rPr>
        <w:t xml:space="preserve"> – “</w:t>
      </w:r>
      <w:r w:rsidR="00BA2803" w:rsidRPr="006F6ECD">
        <w:rPr>
          <w:color w:val="FF0000"/>
        </w:rPr>
        <w:t xml:space="preserve">Applications must be written in English and submitted electronically to the RFA Coordinator in the order noted below.” </w:t>
      </w:r>
    </w:p>
    <w:p w14:paraId="1F93E07E" w14:textId="0C51ECCC" w:rsidR="00BA2803" w:rsidRPr="00772307" w:rsidRDefault="006B1CAA" w:rsidP="006B1CAA">
      <w:pPr>
        <w:ind w:left="1440"/>
        <w:rPr>
          <w:color w:val="FF0000"/>
        </w:rPr>
      </w:pPr>
      <w:r w:rsidRPr="00772307">
        <w:rPr>
          <w:color w:val="FF0000"/>
        </w:rPr>
        <w:t xml:space="preserve">You </w:t>
      </w:r>
      <w:r w:rsidRPr="00772307">
        <w:rPr>
          <w:b/>
          <w:i/>
          <w:color w:val="FF0000"/>
        </w:rPr>
        <w:t>do not</w:t>
      </w:r>
      <w:r w:rsidRPr="00772307">
        <w:rPr>
          <w:color w:val="FF0000"/>
        </w:rPr>
        <w:t xml:space="preserve"> need to include your license to do business</w:t>
      </w:r>
      <w:r w:rsidR="00A11D86" w:rsidRPr="00772307">
        <w:rPr>
          <w:color w:val="FF0000"/>
        </w:rPr>
        <w:t xml:space="preserve"> in the State of Washington</w:t>
      </w:r>
      <w:r w:rsidRPr="00772307">
        <w:rPr>
          <w:color w:val="FF0000"/>
        </w:rPr>
        <w:t xml:space="preserve">.  </w:t>
      </w:r>
    </w:p>
    <w:p w14:paraId="68D8EECC" w14:textId="77777777" w:rsidR="003C5966" w:rsidRPr="00B20309" w:rsidRDefault="003C5966" w:rsidP="00F4450C">
      <w:pPr>
        <w:spacing w:after="0" w:line="240" w:lineRule="auto"/>
        <w:ind w:left="1440" w:hanging="1440"/>
        <w:rPr>
          <w:rFonts w:cstheme="minorHAnsi"/>
          <w:b/>
          <w:color w:val="FF0000"/>
        </w:rPr>
      </w:pPr>
    </w:p>
    <w:p w14:paraId="654DED4C" w14:textId="77777777" w:rsidR="003C5966" w:rsidRPr="00B20309" w:rsidRDefault="003C5966" w:rsidP="00F4450C">
      <w:pPr>
        <w:spacing w:after="0" w:line="240" w:lineRule="auto"/>
        <w:ind w:left="1440" w:hanging="1440"/>
        <w:rPr>
          <w:rFonts w:cstheme="minorHAnsi"/>
          <w:b/>
          <w:color w:val="FF0000"/>
        </w:rPr>
      </w:pPr>
    </w:p>
    <w:p w14:paraId="79957564" w14:textId="40BA1BCD" w:rsidR="00C27A92" w:rsidRDefault="00772307" w:rsidP="00040E50">
      <w:pPr>
        <w:spacing w:after="0" w:line="240" w:lineRule="auto"/>
        <w:ind w:left="1350" w:hanging="1350"/>
        <w:rPr>
          <w:rFonts w:cstheme="minorHAnsi"/>
          <w:color w:val="000000"/>
        </w:rPr>
      </w:pPr>
      <w:r>
        <w:rPr>
          <w:rFonts w:cstheme="minorHAnsi"/>
          <w:b/>
          <w:color w:val="000000" w:themeColor="text1"/>
        </w:rPr>
        <w:t>Question 28</w:t>
      </w:r>
      <w:r w:rsidR="00C27A92" w:rsidRPr="00B20309">
        <w:rPr>
          <w:rFonts w:cstheme="minorHAnsi"/>
          <w:b/>
          <w:color w:val="000000" w:themeColor="text1"/>
        </w:rPr>
        <w:t xml:space="preserve">:   </w:t>
      </w:r>
      <w:r w:rsidR="00C27A92" w:rsidRPr="00B20309">
        <w:rPr>
          <w:rFonts w:cstheme="minorHAnsi"/>
          <w:i/>
          <w:color w:val="000000" w:themeColor="text1"/>
        </w:rPr>
        <w:t>(Pg. 6</w:t>
      </w:r>
      <w:r w:rsidR="00C27A92" w:rsidRPr="00B20309">
        <w:rPr>
          <w:rFonts w:cstheme="minorHAnsi"/>
          <w:color w:val="000000"/>
        </w:rPr>
        <w:t xml:space="preserve">)   </w:t>
      </w:r>
      <w:r w:rsidR="00E71154">
        <w:rPr>
          <w:rFonts w:eastAsia="Times New Roman"/>
          <w:color w:val="000000"/>
        </w:rPr>
        <w:t xml:space="preserve">Cover Submittal Letter – </w:t>
      </w:r>
      <w:r w:rsidR="00C27A92" w:rsidRPr="00B20309">
        <w:rPr>
          <w:rFonts w:cstheme="minorHAnsi"/>
          <w:color w:val="000000"/>
        </w:rPr>
        <w:t xml:space="preserve">This is mentioned in the RFP on </w:t>
      </w:r>
      <w:proofErr w:type="spellStart"/>
      <w:r w:rsidR="00C27A92" w:rsidRPr="00B20309">
        <w:rPr>
          <w:rFonts w:cstheme="minorHAnsi"/>
          <w:color w:val="000000"/>
        </w:rPr>
        <w:t>pg</w:t>
      </w:r>
      <w:proofErr w:type="spellEnd"/>
      <w:r w:rsidR="00C27A92" w:rsidRPr="00B20309">
        <w:rPr>
          <w:rFonts w:cstheme="minorHAnsi"/>
          <w:color w:val="000000"/>
        </w:rPr>
        <w:t xml:space="preserve"> 6 in the 2nd paragraph under 2.3 but is not noted on the list of application </w:t>
      </w:r>
      <w:proofErr w:type="gramStart"/>
      <w:r w:rsidR="00C27A92" w:rsidRPr="00B20309">
        <w:rPr>
          <w:rFonts w:cstheme="minorHAnsi"/>
          <w:color w:val="000000"/>
        </w:rPr>
        <w:t>contents which</w:t>
      </w:r>
      <w:proofErr w:type="gramEnd"/>
      <w:r w:rsidR="00C27A92" w:rsidRPr="00B20309">
        <w:rPr>
          <w:rFonts w:cstheme="minorHAnsi"/>
          <w:color w:val="000000"/>
        </w:rPr>
        <w:t xml:space="preserve"> designates page order. </w:t>
      </w:r>
      <w:r w:rsidR="001461C5">
        <w:rPr>
          <w:rFonts w:cstheme="minorHAnsi"/>
          <w:color w:val="000000"/>
        </w:rPr>
        <w:t xml:space="preserve"> </w:t>
      </w:r>
      <w:proofErr w:type="gramStart"/>
      <w:r w:rsidR="00C27A92" w:rsidRPr="00B20309">
        <w:rPr>
          <w:rFonts w:cstheme="minorHAnsi"/>
          <w:color w:val="000000"/>
        </w:rPr>
        <w:t>Is the Cover Submittal Letter meant</w:t>
      </w:r>
      <w:proofErr w:type="gramEnd"/>
      <w:r w:rsidR="00C27A92" w:rsidRPr="00B20309">
        <w:rPr>
          <w:rFonts w:cstheme="minorHAnsi"/>
          <w:color w:val="000000"/>
        </w:rPr>
        <w:t xml:space="preserve"> to precede the Signed Certifications and Assurances?</w:t>
      </w:r>
    </w:p>
    <w:p w14:paraId="3EC954B9" w14:textId="4CC42176" w:rsidR="00772307" w:rsidRDefault="00772307" w:rsidP="00F4450C">
      <w:pPr>
        <w:spacing w:after="0" w:line="240" w:lineRule="auto"/>
        <w:ind w:left="1440" w:hanging="1440"/>
        <w:rPr>
          <w:rFonts w:cstheme="minorHAnsi"/>
          <w:b/>
          <w:color w:val="000000" w:themeColor="text1"/>
        </w:rPr>
      </w:pPr>
    </w:p>
    <w:p w14:paraId="497FE021" w14:textId="25D83E36" w:rsidR="00772307" w:rsidRDefault="00772307" w:rsidP="00204E25">
      <w:pPr>
        <w:spacing w:after="0" w:line="240" w:lineRule="auto"/>
        <w:ind w:left="1350" w:hanging="1350"/>
        <w:rPr>
          <w:rFonts w:cstheme="minorHAnsi"/>
          <w:color w:val="FF0000"/>
        </w:rPr>
      </w:pPr>
      <w:r w:rsidRPr="00772307">
        <w:rPr>
          <w:rFonts w:cstheme="minorHAnsi"/>
          <w:b/>
          <w:color w:val="FF0000"/>
        </w:rPr>
        <w:t>Answer 28:</w:t>
      </w:r>
      <w:r>
        <w:rPr>
          <w:rFonts w:cstheme="minorHAnsi"/>
          <w:b/>
          <w:color w:val="000000" w:themeColor="text1"/>
        </w:rPr>
        <w:tab/>
      </w:r>
      <w:r w:rsidRPr="006F3117">
        <w:rPr>
          <w:rFonts w:cstheme="minorHAnsi"/>
          <w:color w:val="FF0000"/>
        </w:rPr>
        <w:t xml:space="preserve">Yes, the Cover Submittal Letter </w:t>
      </w:r>
      <w:proofErr w:type="gramStart"/>
      <w:r w:rsidRPr="006F3117">
        <w:rPr>
          <w:rFonts w:cstheme="minorHAnsi"/>
          <w:color w:val="FF0000"/>
        </w:rPr>
        <w:t>is meant</w:t>
      </w:r>
      <w:proofErr w:type="gramEnd"/>
      <w:r w:rsidRPr="006F3117">
        <w:rPr>
          <w:rFonts w:cstheme="minorHAnsi"/>
          <w:color w:val="FF0000"/>
        </w:rPr>
        <w:t xml:space="preserve"> to precede the signed Certifications and </w:t>
      </w:r>
      <w:r w:rsidR="00204E25">
        <w:rPr>
          <w:rFonts w:cstheme="minorHAnsi"/>
          <w:color w:val="FF0000"/>
        </w:rPr>
        <w:t xml:space="preserve">   </w:t>
      </w:r>
      <w:r w:rsidRPr="006F3117">
        <w:rPr>
          <w:rFonts w:cstheme="minorHAnsi"/>
          <w:color w:val="FF0000"/>
        </w:rPr>
        <w:t>Assurances.</w:t>
      </w:r>
    </w:p>
    <w:p w14:paraId="3AD2BACA" w14:textId="4154A755" w:rsidR="00772307" w:rsidRDefault="00772307" w:rsidP="00772307">
      <w:pPr>
        <w:spacing w:after="0" w:line="240" w:lineRule="auto"/>
        <w:ind w:left="1260" w:hanging="1260"/>
        <w:rPr>
          <w:rFonts w:cstheme="minorHAnsi"/>
          <w:b/>
          <w:color w:val="FF0000"/>
        </w:rPr>
      </w:pPr>
    </w:p>
    <w:p w14:paraId="67A43A73" w14:textId="1274D8F8" w:rsidR="00772307" w:rsidRDefault="00772307" w:rsidP="00772307">
      <w:pPr>
        <w:spacing w:after="0" w:line="240" w:lineRule="auto"/>
        <w:ind w:left="1260" w:hanging="1260"/>
        <w:rPr>
          <w:rFonts w:cstheme="minorHAnsi"/>
          <w:b/>
          <w:color w:val="FF0000"/>
        </w:rPr>
      </w:pPr>
    </w:p>
    <w:p w14:paraId="27B44AC8" w14:textId="77E8D64E" w:rsidR="00772307" w:rsidRDefault="00772307" w:rsidP="00110814">
      <w:pPr>
        <w:spacing w:after="0" w:line="240" w:lineRule="auto"/>
        <w:ind w:left="1350" w:hanging="1350"/>
        <w:rPr>
          <w:rFonts w:eastAsia="Times New Roman"/>
        </w:rPr>
      </w:pPr>
      <w:r w:rsidRPr="00772307">
        <w:rPr>
          <w:rFonts w:cstheme="minorHAnsi"/>
          <w:b/>
        </w:rPr>
        <w:t>Question 29:</w:t>
      </w:r>
      <w:r>
        <w:rPr>
          <w:rFonts w:cstheme="minorHAnsi"/>
          <w:b/>
          <w:color w:val="FF0000"/>
        </w:rPr>
        <w:tab/>
      </w:r>
      <w:r>
        <w:rPr>
          <w:rFonts w:eastAsia="Times New Roman"/>
        </w:rPr>
        <w:t>Are there any formatting requirements in addition to the requirement that we submit either Word or PDF documents? Is there a font or font size we need to use, or page limits we need to be aware of when preparing the narrative? </w:t>
      </w:r>
    </w:p>
    <w:p w14:paraId="3A7255F7" w14:textId="4F58ADEF" w:rsidR="00772307" w:rsidRDefault="00772307" w:rsidP="00772307">
      <w:pPr>
        <w:spacing w:after="0" w:line="240" w:lineRule="auto"/>
        <w:ind w:left="1260" w:hanging="1260"/>
        <w:rPr>
          <w:rFonts w:cstheme="minorHAnsi"/>
          <w:b/>
          <w:color w:val="FF0000"/>
        </w:rPr>
      </w:pPr>
    </w:p>
    <w:p w14:paraId="1815956D" w14:textId="2E3027EA" w:rsidR="00772307" w:rsidRPr="00753A92" w:rsidRDefault="00772307" w:rsidP="0069775A">
      <w:pPr>
        <w:spacing w:after="0" w:line="240" w:lineRule="auto"/>
        <w:ind w:left="1260" w:hanging="1260"/>
        <w:rPr>
          <w:rFonts w:cstheme="minorHAnsi"/>
          <w:b/>
          <w:color w:val="FF0000"/>
        </w:rPr>
      </w:pPr>
      <w:r>
        <w:rPr>
          <w:rFonts w:cstheme="minorHAnsi"/>
          <w:b/>
          <w:color w:val="FF0000"/>
        </w:rPr>
        <w:t xml:space="preserve">Answer 29: </w:t>
      </w:r>
      <w:r>
        <w:rPr>
          <w:rFonts w:cstheme="minorHAnsi"/>
          <w:b/>
          <w:color w:val="FF0000"/>
        </w:rPr>
        <w:tab/>
      </w:r>
      <w:r w:rsidRPr="00753A92">
        <w:rPr>
          <w:rFonts w:cstheme="minorHAnsi"/>
          <w:color w:val="FF0000"/>
        </w:rPr>
        <w:t>There is not any requirements for f</w:t>
      </w:r>
      <w:r>
        <w:rPr>
          <w:rFonts w:cstheme="minorHAnsi"/>
          <w:color w:val="FF0000"/>
        </w:rPr>
        <w:t>ont, font size, or page limits.</w:t>
      </w:r>
    </w:p>
    <w:p w14:paraId="1B44870F" w14:textId="5B619437" w:rsidR="00772307" w:rsidRPr="00B20309" w:rsidRDefault="00772307" w:rsidP="0069775A">
      <w:pPr>
        <w:pBdr>
          <w:bottom w:val="single" w:sz="8" w:space="1" w:color="auto"/>
        </w:pBdr>
        <w:spacing w:after="0" w:line="240" w:lineRule="auto"/>
        <w:ind w:left="1440" w:hanging="1440"/>
        <w:rPr>
          <w:rFonts w:cstheme="minorHAnsi"/>
          <w:b/>
          <w:color w:val="000000" w:themeColor="text1"/>
        </w:rPr>
      </w:pPr>
    </w:p>
    <w:p w14:paraId="75C57609" w14:textId="77777777" w:rsidR="00F4450C" w:rsidRPr="00B20309" w:rsidRDefault="00F4450C" w:rsidP="00F4450C">
      <w:pPr>
        <w:pStyle w:val="ListParagraph"/>
        <w:spacing w:after="0" w:line="240" w:lineRule="auto"/>
        <w:ind w:left="1620"/>
        <w:rPr>
          <w:rFonts w:cstheme="minorHAnsi"/>
        </w:rPr>
      </w:pPr>
    </w:p>
    <w:p w14:paraId="334E2916" w14:textId="3248FCF8" w:rsidR="00F4450C" w:rsidRDefault="004C6414" w:rsidP="00917A7B">
      <w:pPr>
        <w:rPr>
          <w:rFonts w:cstheme="minorHAnsi"/>
          <w:b/>
          <w:sz w:val="28"/>
          <w:szCs w:val="28"/>
        </w:rPr>
      </w:pPr>
      <w:r w:rsidRPr="00917A7B">
        <w:rPr>
          <w:rFonts w:cstheme="minorHAnsi"/>
          <w:b/>
          <w:sz w:val="28"/>
          <w:szCs w:val="28"/>
        </w:rPr>
        <w:t>Additional Information and Clarification for Section 1.1 “Purpose and Background”</w:t>
      </w:r>
    </w:p>
    <w:p w14:paraId="10B92392" w14:textId="234005E8" w:rsidR="0008652F" w:rsidRDefault="0008652F" w:rsidP="0008652F">
      <w:pPr>
        <w:spacing w:after="0" w:line="240" w:lineRule="auto"/>
      </w:pPr>
      <w:r>
        <w:t xml:space="preserve">It is important to note up front that the co-development and co-application process may evolve between RFA submission and </w:t>
      </w:r>
      <w:proofErr w:type="spellStart"/>
      <w:r>
        <w:t>InCK</w:t>
      </w:r>
      <w:proofErr w:type="spellEnd"/>
      <w:r>
        <w:t xml:space="preserve"> application submission.  Because the NOFO </w:t>
      </w:r>
      <w:proofErr w:type="gramStart"/>
      <w:r>
        <w:t>has not been released</w:t>
      </w:r>
      <w:proofErr w:type="gramEnd"/>
      <w:r>
        <w:t xml:space="preserve">, and the fact HCA wants to identify a lead organization early in the application process, it is anticipated that some adjustments to the proposed model may be necessary.  HCA and state partners will select a lead organization according to the identified evaluation process, including oral interviews following the NOFO release, but the proposed </w:t>
      </w:r>
      <w:proofErr w:type="spellStart"/>
      <w:r>
        <w:t>InCK</w:t>
      </w:r>
      <w:proofErr w:type="spellEnd"/>
      <w:r>
        <w:t xml:space="preserve"> model may require adjustment based on discussion across state and community partners.  It is necessary to allow for co-development between state partners and the lead organization and lead partners to ensure Washington submits a competitive application.</w:t>
      </w:r>
    </w:p>
    <w:p w14:paraId="3096F9C0" w14:textId="77777777" w:rsidR="004C6414" w:rsidRPr="00CD256C" w:rsidRDefault="004C6414" w:rsidP="0069775A">
      <w:pPr>
        <w:pBdr>
          <w:bottom w:val="single" w:sz="8" w:space="1" w:color="auto"/>
        </w:pBdr>
        <w:ind w:left="1260" w:hanging="1260"/>
        <w:rPr>
          <w:rFonts w:cstheme="minorHAnsi"/>
          <w:b/>
        </w:rPr>
      </w:pPr>
    </w:p>
    <w:p w14:paraId="588B0788" w14:textId="17B0CEFA" w:rsidR="00CD256C" w:rsidRPr="001E0E89" w:rsidRDefault="004C6414" w:rsidP="00CE209E">
      <w:pPr>
        <w:ind w:left="1260" w:hanging="1260"/>
        <w:rPr>
          <w:rFonts w:cstheme="minorHAnsi"/>
          <w:b/>
          <w:sz w:val="28"/>
          <w:szCs w:val="28"/>
        </w:rPr>
      </w:pPr>
      <w:r w:rsidRPr="001E0E89">
        <w:rPr>
          <w:rFonts w:cstheme="minorHAnsi"/>
          <w:b/>
          <w:sz w:val="28"/>
          <w:szCs w:val="28"/>
        </w:rPr>
        <w:t>Section 2.2, “Revised RFA Estimated Schedule of Procurement Activities”</w:t>
      </w:r>
    </w:p>
    <w:p w14:paraId="7538DA2A" w14:textId="4E01814A" w:rsidR="0008652F" w:rsidRDefault="0008652F" w:rsidP="0008652F">
      <w:pPr>
        <w:spacing w:after="0" w:line="240" w:lineRule="auto"/>
      </w:pPr>
      <w:r>
        <w:t xml:space="preserve">Please note that the timeline </w:t>
      </w:r>
      <w:proofErr w:type="gramStart"/>
      <w:r>
        <w:t>has been adjusted</w:t>
      </w:r>
      <w:proofErr w:type="gramEnd"/>
      <w:r>
        <w:t xml:space="preserve"> in consideration of multiple factors.   HCA acknowledge this is a somewhat ambiguous process and for </w:t>
      </w:r>
      <w:proofErr w:type="gramStart"/>
      <w:r>
        <w:t>that</w:t>
      </w:r>
      <w:proofErr w:type="gramEnd"/>
      <w:r>
        <w:t xml:space="preserve"> reason HCA wants to ensure the Notice of Funding Opportunity is released prior to the oral interview process and final selection of a lead organization.  In addition, this extended timeline allows more time for applicants to build the necessary partnerships and continue developing concepts related to a potential </w:t>
      </w:r>
      <w:proofErr w:type="spellStart"/>
      <w:r>
        <w:t>InCK</w:t>
      </w:r>
      <w:proofErr w:type="spellEnd"/>
      <w:r>
        <w:t xml:space="preserve"> model.  </w:t>
      </w:r>
    </w:p>
    <w:p w14:paraId="68ACE4BD" w14:textId="77777777" w:rsidR="00646CF2" w:rsidRPr="00CE209E" w:rsidRDefault="00646CF2" w:rsidP="00646CF2">
      <w:pPr>
        <w:ind w:left="1260" w:hanging="1260"/>
        <w:rPr>
          <w:rFonts w:cstheme="minorHAnsi"/>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90"/>
      </w:tblGrid>
      <w:tr w:rsidR="004C6414" w:rsidRPr="0033798F" w14:paraId="199AD07C" w14:textId="77777777" w:rsidTr="004C6414">
        <w:trPr>
          <w:trHeight w:val="288"/>
        </w:trPr>
        <w:tc>
          <w:tcPr>
            <w:tcW w:w="5670" w:type="dxa"/>
          </w:tcPr>
          <w:p w14:paraId="447EDB83" w14:textId="77777777" w:rsidR="004C6414" w:rsidRPr="00C427EF" w:rsidRDefault="004C6414" w:rsidP="00B564FE">
            <w:pPr>
              <w:tabs>
                <w:tab w:val="left" w:pos="-720"/>
                <w:tab w:val="left" w:pos="720"/>
                <w:tab w:val="left" w:pos="1080"/>
                <w:tab w:val="left" w:pos="1440"/>
                <w:tab w:val="left" w:pos="1800"/>
                <w:tab w:val="left" w:pos="2160"/>
                <w:tab w:val="left" w:pos="2520"/>
                <w:tab w:val="left" w:pos="2880"/>
              </w:tabs>
              <w:spacing w:before="120"/>
              <w:ind w:left="72"/>
              <w:rPr>
                <w:strike/>
              </w:rPr>
            </w:pPr>
            <w:r w:rsidRPr="00C427EF">
              <w:rPr>
                <w:strike/>
              </w:rPr>
              <w:t>Issue Request for Applications</w:t>
            </w:r>
          </w:p>
        </w:tc>
        <w:tc>
          <w:tcPr>
            <w:tcW w:w="3690" w:type="dxa"/>
          </w:tcPr>
          <w:p w14:paraId="51B7F765" w14:textId="77777777" w:rsidR="004C6414" w:rsidRPr="00C427EF" w:rsidRDefault="004C6414" w:rsidP="00B564FE">
            <w:pPr>
              <w:tabs>
                <w:tab w:val="left" w:pos="-720"/>
                <w:tab w:val="left" w:pos="720"/>
                <w:tab w:val="left" w:pos="1080"/>
                <w:tab w:val="left" w:pos="1440"/>
                <w:tab w:val="left" w:pos="1800"/>
                <w:tab w:val="left" w:pos="2160"/>
                <w:tab w:val="left" w:pos="2520"/>
                <w:tab w:val="left" w:pos="2880"/>
              </w:tabs>
              <w:spacing w:before="120"/>
              <w:ind w:left="72"/>
              <w:rPr>
                <w:strike/>
              </w:rPr>
            </w:pPr>
            <w:r w:rsidRPr="00C427EF">
              <w:rPr>
                <w:strike/>
              </w:rPr>
              <w:t>October 30, 2018</w:t>
            </w:r>
          </w:p>
        </w:tc>
      </w:tr>
      <w:tr w:rsidR="004C6414" w:rsidRPr="0033798F" w14:paraId="24F164C8" w14:textId="77777777" w:rsidTr="004C6414">
        <w:trPr>
          <w:trHeight w:val="288"/>
        </w:trPr>
        <w:tc>
          <w:tcPr>
            <w:tcW w:w="5670" w:type="dxa"/>
          </w:tcPr>
          <w:p w14:paraId="633CE303" w14:textId="77777777" w:rsidR="004C6414" w:rsidRPr="00C427EF" w:rsidRDefault="004C6414" w:rsidP="00B564FE">
            <w:pPr>
              <w:tabs>
                <w:tab w:val="left" w:pos="-720"/>
                <w:tab w:val="left" w:pos="720"/>
                <w:tab w:val="left" w:pos="1080"/>
                <w:tab w:val="left" w:pos="1440"/>
                <w:tab w:val="left" w:pos="1800"/>
                <w:tab w:val="left" w:pos="2160"/>
                <w:tab w:val="left" w:pos="2520"/>
                <w:tab w:val="left" w:pos="2880"/>
              </w:tabs>
              <w:spacing w:before="120"/>
              <w:ind w:left="72"/>
              <w:rPr>
                <w:strike/>
                <w:u w:val="single"/>
              </w:rPr>
            </w:pPr>
            <w:r w:rsidRPr="00C427EF">
              <w:rPr>
                <w:strike/>
              </w:rPr>
              <w:t>Questions Due from Bidders</w:t>
            </w:r>
          </w:p>
        </w:tc>
        <w:tc>
          <w:tcPr>
            <w:tcW w:w="3690" w:type="dxa"/>
          </w:tcPr>
          <w:p w14:paraId="31DDCC3F" w14:textId="77777777" w:rsidR="004C6414" w:rsidRPr="00C427EF" w:rsidRDefault="004C6414" w:rsidP="00B564FE">
            <w:pPr>
              <w:tabs>
                <w:tab w:val="left" w:pos="-720"/>
                <w:tab w:val="left" w:pos="720"/>
                <w:tab w:val="left" w:pos="1080"/>
                <w:tab w:val="left" w:pos="1440"/>
                <w:tab w:val="left" w:pos="1800"/>
                <w:tab w:val="left" w:pos="2160"/>
                <w:tab w:val="left" w:pos="2520"/>
                <w:tab w:val="left" w:pos="2880"/>
              </w:tabs>
              <w:spacing w:before="120"/>
              <w:ind w:left="72"/>
              <w:rPr>
                <w:strike/>
              </w:rPr>
            </w:pPr>
            <w:r w:rsidRPr="00C427EF">
              <w:rPr>
                <w:strike/>
              </w:rPr>
              <w:t>November 2, 2018 – 2:00 PM</w:t>
            </w:r>
          </w:p>
        </w:tc>
      </w:tr>
      <w:tr w:rsidR="004C6414" w:rsidRPr="0033798F" w14:paraId="34B367F6" w14:textId="77777777" w:rsidTr="004C6414">
        <w:trPr>
          <w:trHeight w:val="288"/>
        </w:trPr>
        <w:tc>
          <w:tcPr>
            <w:tcW w:w="5670" w:type="dxa"/>
          </w:tcPr>
          <w:p w14:paraId="5BB4029A" w14:textId="77777777" w:rsidR="004C6414" w:rsidRPr="00C427EF" w:rsidRDefault="004C6414" w:rsidP="00B564FE">
            <w:pPr>
              <w:tabs>
                <w:tab w:val="left" w:pos="-720"/>
                <w:tab w:val="left" w:pos="720"/>
                <w:tab w:val="left" w:pos="1080"/>
                <w:tab w:val="left" w:pos="1440"/>
                <w:tab w:val="left" w:pos="1800"/>
                <w:tab w:val="left" w:pos="2160"/>
                <w:tab w:val="left" w:pos="2520"/>
                <w:tab w:val="left" w:pos="2880"/>
              </w:tabs>
              <w:spacing w:before="120"/>
              <w:ind w:left="72"/>
              <w:rPr>
                <w:strike/>
              </w:rPr>
            </w:pPr>
            <w:r w:rsidRPr="00C427EF">
              <w:rPr>
                <w:strike/>
              </w:rPr>
              <w:t xml:space="preserve">HCA Response to Answers </w:t>
            </w:r>
          </w:p>
        </w:tc>
        <w:tc>
          <w:tcPr>
            <w:tcW w:w="3690" w:type="dxa"/>
          </w:tcPr>
          <w:p w14:paraId="23D4C5C2" w14:textId="77777777" w:rsidR="004C6414" w:rsidRPr="00C427EF" w:rsidRDefault="004C6414" w:rsidP="00B564FE">
            <w:pPr>
              <w:tabs>
                <w:tab w:val="left" w:pos="-720"/>
                <w:tab w:val="left" w:pos="720"/>
                <w:tab w:val="left" w:pos="1080"/>
                <w:tab w:val="left" w:pos="1440"/>
                <w:tab w:val="left" w:pos="1800"/>
                <w:tab w:val="left" w:pos="2160"/>
                <w:tab w:val="left" w:pos="2520"/>
                <w:tab w:val="left" w:pos="2880"/>
              </w:tabs>
              <w:spacing w:before="120"/>
              <w:ind w:left="72"/>
              <w:rPr>
                <w:strike/>
              </w:rPr>
            </w:pPr>
            <w:r w:rsidRPr="00C427EF">
              <w:rPr>
                <w:strike/>
              </w:rPr>
              <w:t>November 9, 2018</w:t>
            </w:r>
          </w:p>
        </w:tc>
      </w:tr>
      <w:tr w:rsidR="004C6414" w:rsidRPr="0033798F" w14:paraId="67D970A9" w14:textId="77777777" w:rsidTr="004C6414">
        <w:trPr>
          <w:trHeight w:val="764"/>
        </w:trPr>
        <w:tc>
          <w:tcPr>
            <w:tcW w:w="5670" w:type="dxa"/>
          </w:tcPr>
          <w:p w14:paraId="61A822F4" w14:textId="77777777" w:rsidR="004C6414" w:rsidRPr="00E74522" w:rsidRDefault="004C6414" w:rsidP="00B564FE">
            <w:pPr>
              <w:tabs>
                <w:tab w:val="left" w:pos="-720"/>
                <w:tab w:val="left" w:pos="720"/>
                <w:tab w:val="left" w:pos="1080"/>
                <w:tab w:val="left" w:pos="1440"/>
                <w:tab w:val="left" w:pos="1800"/>
                <w:tab w:val="left" w:pos="2160"/>
                <w:tab w:val="left" w:pos="2520"/>
                <w:tab w:val="left" w:pos="2880"/>
              </w:tabs>
              <w:spacing w:before="120"/>
              <w:ind w:left="72"/>
              <w:rPr>
                <w:b/>
                <w:u w:val="single"/>
              </w:rPr>
            </w:pPr>
            <w:r>
              <w:rPr>
                <w:b/>
              </w:rPr>
              <w:lastRenderedPageBreak/>
              <w:t>Applications</w:t>
            </w:r>
            <w:r w:rsidRPr="00E74522">
              <w:rPr>
                <w:b/>
              </w:rPr>
              <w:t xml:space="preserve"> </w:t>
            </w:r>
            <w:r>
              <w:rPr>
                <w:b/>
              </w:rPr>
              <w:t>Submission Deadline</w:t>
            </w:r>
          </w:p>
        </w:tc>
        <w:tc>
          <w:tcPr>
            <w:tcW w:w="3690" w:type="dxa"/>
          </w:tcPr>
          <w:p w14:paraId="0A51DBA3" w14:textId="77777777" w:rsidR="004C6414" w:rsidRDefault="004C6414" w:rsidP="00B564FE">
            <w:pPr>
              <w:tabs>
                <w:tab w:val="left" w:pos="-720"/>
                <w:tab w:val="left" w:pos="720"/>
                <w:tab w:val="left" w:pos="1080"/>
                <w:tab w:val="left" w:pos="1440"/>
                <w:tab w:val="left" w:pos="1800"/>
                <w:tab w:val="left" w:pos="2160"/>
                <w:tab w:val="left" w:pos="2520"/>
                <w:tab w:val="left" w:pos="2880"/>
              </w:tabs>
              <w:spacing w:after="0"/>
              <w:ind w:left="72"/>
              <w:rPr>
                <w:b/>
                <w:bCs/>
                <w:strike/>
              </w:rPr>
            </w:pPr>
            <w:r w:rsidRPr="00F008B1">
              <w:rPr>
                <w:b/>
                <w:bCs/>
                <w:strike/>
              </w:rPr>
              <w:t xml:space="preserve">November 22, 2018 – 2:00 PM </w:t>
            </w:r>
          </w:p>
          <w:p w14:paraId="0163AC66" w14:textId="77777777" w:rsidR="004C6414" w:rsidRPr="00F008B1" w:rsidRDefault="004C6414" w:rsidP="00B564FE">
            <w:pPr>
              <w:tabs>
                <w:tab w:val="left" w:pos="-720"/>
                <w:tab w:val="left" w:pos="720"/>
                <w:tab w:val="left" w:pos="1080"/>
                <w:tab w:val="left" w:pos="1440"/>
                <w:tab w:val="left" w:pos="1800"/>
                <w:tab w:val="left" w:pos="2160"/>
                <w:tab w:val="left" w:pos="2520"/>
                <w:tab w:val="left" w:pos="2880"/>
              </w:tabs>
              <w:spacing w:after="0"/>
              <w:ind w:left="72"/>
              <w:rPr>
                <w:b/>
                <w:bCs/>
                <w:color w:val="FF0000"/>
                <w:u w:val="single"/>
              </w:rPr>
            </w:pPr>
            <w:r w:rsidRPr="00F008B1">
              <w:rPr>
                <w:b/>
                <w:bCs/>
                <w:color w:val="FF0000"/>
                <w:u w:val="single"/>
              </w:rPr>
              <w:t>December 5, 2018 – 2:00 PM</w:t>
            </w:r>
          </w:p>
        </w:tc>
      </w:tr>
      <w:tr w:rsidR="004C6414" w:rsidRPr="0033798F" w14:paraId="2D7B6142" w14:textId="77777777" w:rsidTr="004C6414">
        <w:trPr>
          <w:trHeight w:val="719"/>
        </w:trPr>
        <w:tc>
          <w:tcPr>
            <w:tcW w:w="5670" w:type="dxa"/>
          </w:tcPr>
          <w:p w14:paraId="1BC3F8A9" w14:textId="77777777" w:rsidR="004C6414" w:rsidRPr="008D643D" w:rsidRDefault="004C6414" w:rsidP="00B564FE">
            <w:pPr>
              <w:tabs>
                <w:tab w:val="left" w:pos="-720"/>
                <w:tab w:val="left" w:pos="720"/>
                <w:tab w:val="left" w:pos="1080"/>
                <w:tab w:val="left" w:pos="1440"/>
                <w:tab w:val="left" w:pos="1800"/>
                <w:tab w:val="left" w:pos="2160"/>
                <w:tab w:val="left" w:pos="2520"/>
                <w:tab w:val="left" w:pos="2880"/>
              </w:tabs>
              <w:spacing w:before="120"/>
              <w:ind w:left="72"/>
              <w:rPr>
                <w:u w:val="single"/>
              </w:rPr>
            </w:pPr>
            <w:r>
              <w:t>Evaluate Applications</w:t>
            </w:r>
          </w:p>
        </w:tc>
        <w:tc>
          <w:tcPr>
            <w:tcW w:w="3690" w:type="dxa"/>
          </w:tcPr>
          <w:p w14:paraId="48273499" w14:textId="77777777" w:rsidR="004C6414" w:rsidRPr="00F008B1" w:rsidRDefault="004C6414" w:rsidP="00B564FE">
            <w:pPr>
              <w:tabs>
                <w:tab w:val="left" w:pos="-720"/>
                <w:tab w:val="left" w:pos="720"/>
                <w:tab w:val="left" w:pos="1080"/>
                <w:tab w:val="left" w:pos="1440"/>
                <w:tab w:val="left" w:pos="1800"/>
                <w:tab w:val="left" w:pos="2160"/>
                <w:tab w:val="left" w:pos="2520"/>
                <w:tab w:val="left" w:pos="2880"/>
              </w:tabs>
              <w:spacing w:after="0"/>
              <w:ind w:left="72"/>
              <w:rPr>
                <w:strike/>
              </w:rPr>
            </w:pPr>
            <w:r w:rsidRPr="00F008B1">
              <w:rPr>
                <w:strike/>
              </w:rPr>
              <w:t>November 26 – December 3, 2018</w:t>
            </w:r>
          </w:p>
          <w:p w14:paraId="2319BD2E" w14:textId="77777777" w:rsidR="004C6414" w:rsidRPr="008D643D" w:rsidRDefault="004C6414" w:rsidP="00B564FE">
            <w:pPr>
              <w:tabs>
                <w:tab w:val="left" w:pos="-720"/>
                <w:tab w:val="left" w:pos="720"/>
                <w:tab w:val="left" w:pos="1080"/>
                <w:tab w:val="left" w:pos="1440"/>
                <w:tab w:val="left" w:pos="1800"/>
                <w:tab w:val="left" w:pos="2160"/>
                <w:tab w:val="left" w:pos="2520"/>
                <w:tab w:val="left" w:pos="2880"/>
              </w:tabs>
              <w:spacing w:after="0"/>
              <w:ind w:left="72"/>
            </w:pPr>
            <w:r w:rsidRPr="00F008B1">
              <w:rPr>
                <w:color w:val="FF0000"/>
              </w:rPr>
              <w:t>December 6 –</w:t>
            </w:r>
            <w:r>
              <w:rPr>
                <w:color w:val="FF0000"/>
              </w:rPr>
              <w:t xml:space="preserve"> </w:t>
            </w:r>
            <w:r w:rsidRPr="00F008B1">
              <w:rPr>
                <w:color w:val="FF0000"/>
              </w:rPr>
              <w:t>13, 2018</w:t>
            </w:r>
          </w:p>
        </w:tc>
      </w:tr>
      <w:tr w:rsidR="004C6414" w:rsidRPr="0033798F" w14:paraId="2C19C8C3" w14:textId="77777777" w:rsidTr="004C6414">
        <w:trPr>
          <w:trHeight w:val="665"/>
        </w:trPr>
        <w:tc>
          <w:tcPr>
            <w:tcW w:w="5670" w:type="dxa"/>
          </w:tcPr>
          <w:p w14:paraId="714EE8C1" w14:textId="77777777" w:rsidR="004C6414" w:rsidRPr="008D643D" w:rsidRDefault="004C6414" w:rsidP="00B564FE">
            <w:pPr>
              <w:tabs>
                <w:tab w:val="left" w:pos="-720"/>
                <w:tab w:val="left" w:pos="720"/>
                <w:tab w:val="left" w:pos="1080"/>
                <w:tab w:val="left" w:pos="1440"/>
                <w:tab w:val="left" w:pos="1800"/>
                <w:tab w:val="left" w:pos="2160"/>
                <w:tab w:val="left" w:pos="2520"/>
                <w:tab w:val="left" w:pos="2880"/>
              </w:tabs>
              <w:spacing w:before="120"/>
              <w:ind w:left="72"/>
            </w:pPr>
            <w:r w:rsidRPr="008D643D">
              <w:t xml:space="preserve">Conduct </w:t>
            </w:r>
            <w:r>
              <w:t>O</w:t>
            </w:r>
            <w:r w:rsidRPr="008D643D">
              <w:t xml:space="preserve">ral </w:t>
            </w:r>
            <w:r>
              <w:t>I</w:t>
            </w:r>
            <w:r w:rsidRPr="008D643D">
              <w:t xml:space="preserve">nterviews with </w:t>
            </w:r>
            <w:r>
              <w:t>F</w:t>
            </w:r>
            <w:r w:rsidRPr="008D643D">
              <w:t>inalists, if required</w:t>
            </w:r>
          </w:p>
        </w:tc>
        <w:tc>
          <w:tcPr>
            <w:tcW w:w="3690" w:type="dxa"/>
          </w:tcPr>
          <w:p w14:paraId="7B4434C3" w14:textId="77777777" w:rsidR="004C6414" w:rsidRPr="00F008B1" w:rsidRDefault="004C6414" w:rsidP="00B564FE">
            <w:pPr>
              <w:spacing w:after="0" w:line="240" w:lineRule="auto"/>
              <w:ind w:left="72"/>
              <w:rPr>
                <w:strike/>
              </w:rPr>
            </w:pPr>
            <w:r w:rsidRPr="00F008B1">
              <w:rPr>
                <w:strike/>
              </w:rPr>
              <w:t>December 5 – 6, 2018</w:t>
            </w:r>
          </w:p>
          <w:p w14:paraId="02A91867" w14:textId="77777777" w:rsidR="004C6414" w:rsidRPr="00F008B1" w:rsidRDefault="004C6414" w:rsidP="00B564FE">
            <w:pPr>
              <w:spacing w:after="0" w:line="240" w:lineRule="auto"/>
              <w:ind w:left="72"/>
              <w:rPr>
                <w:rFonts w:ascii="Calibri" w:hAnsi="Calibri" w:cs="Times New Roman"/>
              </w:rPr>
            </w:pPr>
            <w:r w:rsidRPr="00F008B1">
              <w:rPr>
                <w:color w:val="FF0000"/>
              </w:rPr>
              <w:t>December 17 – 21, 2018</w:t>
            </w:r>
          </w:p>
        </w:tc>
      </w:tr>
      <w:tr w:rsidR="004C6414" w:rsidRPr="0033798F" w14:paraId="4A0D4B88" w14:textId="77777777" w:rsidTr="004C6414">
        <w:trPr>
          <w:trHeight w:val="288"/>
        </w:trPr>
        <w:tc>
          <w:tcPr>
            <w:tcW w:w="5670" w:type="dxa"/>
          </w:tcPr>
          <w:p w14:paraId="7437B429" w14:textId="77777777" w:rsidR="004C6414" w:rsidRPr="008D643D" w:rsidRDefault="004C6414" w:rsidP="00B564FE">
            <w:pPr>
              <w:tabs>
                <w:tab w:val="left" w:pos="-720"/>
                <w:tab w:val="left" w:pos="720"/>
                <w:tab w:val="left" w:pos="1080"/>
                <w:tab w:val="left" w:pos="1440"/>
                <w:tab w:val="left" w:pos="1800"/>
                <w:tab w:val="left" w:pos="2160"/>
                <w:tab w:val="left" w:pos="2520"/>
                <w:tab w:val="left" w:pos="2880"/>
              </w:tabs>
              <w:spacing w:before="120"/>
              <w:ind w:left="72"/>
            </w:pPr>
            <w:r w:rsidRPr="008D643D">
              <w:t>Announce “Apparent</w:t>
            </w:r>
            <w:r>
              <w:t>ly</w:t>
            </w:r>
            <w:r w:rsidRPr="008D643D">
              <w:t xml:space="preserve"> Successful </w:t>
            </w:r>
            <w:r>
              <w:t>Bidder</w:t>
            </w:r>
            <w:r w:rsidRPr="008D643D">
              <w:t>” and send notification via e-mail to unsuccessful Bidders</w:t>
            </w:r>
          </w:p>
        </w:tc>
        <w:tc>
          <w:tcPr>
            <w:tcW w:w="3690" w:type="dxa"/>
          </w:tcPr>
          <w:p w14:paraId="18077924" w14:textId="77777777" w:rsidR="004C6414" w:rsidRPr="00810252"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rPr>
                <w:strike/>
              </w:rPr>
            </w:pPr>
            <w:r w:rsidRPr="00810252">
              <w:rPr>
                <w:strike/>
              </w:rPr>
              <w:t>December 10, 2018</w:t>
            </w:r>
          </w:p>
          <w:p w14:paraId="71BF1173" w14:textId="77777777" w:rsidR="004C6414" w:rsidRPr="008D643D"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pPr>
            <w:r w:rsidRPr="00810252">
              <w:rPr>
                <w:color w:val="FF0000"/>
              </w:rPr>
              <w:t>December 28, 2018</w:t>
            </w:r>
          </w:p>
        </w:tc>
      </w:tr>
      <w:tr w:rsidR="004C6414" w:rsidRPr="0033798F" w14:paraId="7917C0BF" w14:textId="77777777" w:rsidTr="004C6414">
        <w:trPr>
          <w:trHeight w:val="602"/>
        </w:trPr>
        <w:tc>
          <w:tcPr>
            <w:tcW w:w="5670" w:type="dxa"/>
          </w:tcPr>
          <w:p w14:paraId="7B1789D4" w14:textId="77777777" w:rsidR="004C6414" w:rsidRPr="008D643D" w:rsidRDefault="004C6414" w:rsidP="00B564FE">
            <w:pPr>
              <w:tabs>
                <w:tab w:val="left" w:pos="-720"/>
                <w:tab w:val="left" w:pos="720"/>
                <w:tab w:val="left" w:pos="1080"/>
                <w:tab w:val="left" w:pos="1440"/>
                <w:tab w:val="left" w:pos="1800"/>
                <w:tab w:val="left" w:pos="2160"/>
                <w:tab w:val="left" w:pos="2520"/>
                <w:tab w:val="left" w:pos="2880"/>
              </w:tabs>
              <w:spacing w:before="120"/>
              <w:ind w:left="72"/>
            </w:pPr>
            <w:r>
              <w:t>Debrief Request Deadline</w:t>
            </w:r>
          </w:p>
        </w:tc>
        <w:tc>
          <w:tcPr>
            <w:tcW w:w="3690" w:type="dxa"/>
          </w:tcPr>
          <w:p w14:paraId="510F79A8" w14:textId="77777777" w:rsidR="004C6414" w:rsidRPr="005D6E29"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rPr>
                <w:strike/>
              </w:rPr>
            </w:pPr>
            <w:r w:rsidRPr="005D6E29">
              <w:rPr>
                <w:strike/>
              </w:rPr>
              <w:t xml:space="preserve">December 14, 2018 5:00 PM </w:t>
            </w:r>
          </w:p>
          <w:p w14:paraId="59BB14BF" w14:textId="77777777" w:rsidR="004C6414" w:rsidRPr="008D643D"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pPr>
            <w:r w:rsidRPr="005D6E29">
              <w:rPr>
                <w:color w:val="FF0000"/>
              </w:rPr>
              <w:t>January 4, 2019 5:00 PM</w:t>
            </w:r>
          </w:p>
        </w:tc>
      </w:tr>
      <w:tr w:rsidR="004C6414" w:rsidRPr="0033798F" w14:paraId="63E61548" w14:textId="77777777" w:rsidTr="004C6414">
        <w:trPr>
          <w:trHeight w:val="620"/>
        </w:trPr>
        <w:tc>
          <w:tcPr>
            <w:tcW w:w="5670" w:type="dxa"/>
          </w:tcPr>
          <w:p w14:paraId="1F4A45AB" w14:textId="77777777" w:rsidR="004C6414" w:rsidRDefault="004C6414" w:rsidP="00B564FE">
            <w:pPr>
              <w:tabs>
                <w:tab w:val="left" w:pos="-720"/>
                <w:tab w:val="left" w:pos="720"/>
                <w:tab w:val="left" w:pos="1080"/>
                <w:tab w:val="left" w:pos="1440"/>
                <w:tab w:val="left" w:pos="1800"/>
                <w:tab w:val="left" w:pos="2160"/>
                <w:tab w:val="left" w:pos="2520"/>
                <w:tab w:val="left" w:pos="2880"/>
              </w:tabs>
              <w:spacing w:before="120"/>
              <w:ind w:left="72"/>
            </w:pPr>
            <w:r>
              <w:t>Hold Debrief Conferences (if requested)</w:t>
            </w:r>
          </w:p>
        </w:tc>
        <w:tc>
          <w:tcPr>
            <w:tcW w:w="3690" w:type="dxa"/>
          </w:tcPr>
          <w:p w14:paraId="7F5F6258" w14:textId="77777777" w:rsidR="004C6414" w:rsidRPr="000C14D7"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rPr>
                <w:strike/>
              </w:rPr>
            </w:pPr>
            <w:r w:rsidRPr="000C14D7">
              <w:rPr>
                <w:strike/>
              </w:rPr>
              <w:t>December 17 – 18, 2018</w:t>
            </w:r>
          </w:p>
          <w:p w14:paraId="094CD723" w14:textId="77777777" w:rsidR="004C6414" w:rsidRPr="00206EFE"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pPr>
            <w:r w:rsidRPr="000C14D7">
              <w:rPr>
                <w:color w:val="FF0000"/>
              </w:rPr>
              <w:t>January 8 – 11, 2019</w:t>
            </w:r>
          </w:p>
        </w:tc>
      </w:tr>
      <w:tr w:rsidR="004C6414" w:rsidRPr="0033798F" w14:paraId="60EEA68D" w14:textId="77777777" w:rsidTr="004C6414">
        <w:trPr>
          <w:trHeight w:val="629"/>
        </w:trPr>
        <w:tc>
          <w:tcPr>
            <w:tcW w:w="5670" w:type="dxa"/>
          </w:tcPr>
          <w:p w14:paraId="0CCB5482" w14:textId="77777777" w:rsidR="004C6414" w:rsidRDefault="004C6414" w:rsidP="00B564FE">
            <w:pPr>
              <w:tabs>
                <w:tab w:val="left" w:pos="-720"/>
                <w:tab w:val="left" w:pos="720"/>
                <w:tab w:val="left" w:pos="1080"/>
                <w:tab w:val="left" w:pos="1440"/>
                <w:tab w:val="left" w:pos="1800"/>
                <w:tab w:val="left" w:pos="2160"/>
                <w:tab w:val="left" w:pos="2520"/>
                <w:tab w:val="left" w:pos="2880"/>
              </w:tabs>
              <w:spacing w:before="120"/>
              <w:ind w:left="72"/>
            </w:pPr>
            <w:r>
              <w:t>Signed MOU with HCA</w:t>
            </w:r>
          </w:p>
        </w:tc>
        <w:tc>
          <w:tcPr>
            <w:tcW w:w="3690" w:type="dxa"/>
          </w:tcPr>
          <w:p w14:paraId="6F75C189" w14:textId="77777777" w:rsidR="004C6414" w:rsidRPr="00F34D9B"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rPr>
                <w:strike/>
              </w:rPr>
            </w:pPr>
            <w:r w:rsidRPr="00F34D9B">
              <w:rPr>
                <w:strike/>
              </w:rPr>
              <w:t>December 19, 2018</w:t>
            </w:r>
          </w:p>
          <w:p w14:paraId="138E9B75" w14:textId="77777777" w:rsidR="004C6414" w:rsidRPr="00206EFE"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pPr>
            <w:r w:rsidRPr="00F34D9B">
              <w:rPr>
                <w:color w:val="FF0000"/>
              </w:rPr>
              <w:t>January 14, 2019</w:t>
            </w:r>
          </w:p>
        </w:tc>
      </w:tr>
      <w:tr w:rsidR="004C6414" w:rsidRPr="0033798F" w14:paraId="29145A68" w14:textId="77777777" w:rsidTr="004C6414">
        <w:trPr>
          <w:trHeight w:val="288"/>
        </w:trPr>
        <w:tc>
          <w:tcPr>
            <w:tcW w:w="5670" w:type="dxa"/>
          </w:tcPr>
          <w:p w14:paraId="3E786144" w14:textId="77777777" w:rsidR="004C6414" w:rsidRPr="008D643D" w:rsidRDefault="004C6414" w:rsidP="00B564FE">
            <w:pPr>
              <w:tabs>
                <w:tab w:val="left" w:pos="-720"/>
                <w:tab w:val="left" w:pos="720"/>
                <w:tab w:val="left" w:pos="1080"/>
                <w:tab w:val="left" w:pos="1440"/>
                <w:tab w:val="left" w:pos="1800"/>
                <w:tab w:val="left" w:pos="2160"/>
                <w:tab w:val="left" w:pos="2520"/>
                <w:tab w:val="left" w:pos="2880"/>
              </w:tabs>
              <w:spacing w:before="120"/>
              <w:ind w:left="72"/>
            </w:pPr>
            <w:r>
              <w:t xml:space="preserve">Begin Co-Application Process for </w:t>
            </w:r>
            <w:proofErr w:type="spellStart"/>
            <w:r>
              <w:t>InCK</w:t>
            </w:r>
            <w:proofErr w:type="spellEnd"/>
            <w:r>
              <w:t xml:space="preserve"> Opportunity </w:t>
            </w:r>
          </w:p>
        </w:tc>
        <w:tc>
          <w:tcPr>
            <w:tcW w:w="3690" w:type="dxa"/>
          </w:tcPr>
          <w:p w14:paraId="2B3832B7" w14:textId="77777777" w:rsidR="004C6414" w:rsidRPr="00100F11"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rPr>
                <w:strike/>
              </w:rPr>
            </w:pPr>
            <w:r w:rsidRPr="00100F11">
              <w:rPr>
                <w:strike/>
              </w:rPr>
              <w:t>December 20, 2018</w:t>
            </w:r>
          </w:p>
          <w:p w14:paraId="25FE551F" w14:textId="77777777" w:rsidR="004C6414" w:rsidRPr="00206EFE" w:rsidRDefault="004C6414" w:rsidP="00B564FE">
            <w:pPr>
              <w:tabs>
                <w:tab w:val="left" w:pos="-720"/>
                <w:tab w:val="left" w:pos="720"/>
                <w:tab w:val="left" w:pos="1080"/>
                <w:tab w:val="left" w:pos="1440"/>
                <w:tab w:val="left" w:pos="1800"/>
                <w:tab w:val="left" w:pos="2160"/>
                <w:tab w:val="left" w:pos="2520"/>
                <w:tab w:val="left" w:pos="2880"/>
              </w:tabs>
              <w:spacing w:after="0" w:line="240" w:lineRule="auto"/>
              <w:ind w:left="72"/>
            </w:pPr>
            <w:r w:rsidRPr="00100F11">
              <w:rPr>
                <w:color w:val="FF0000"/>
              </w:rPr>
              <w:t>January 15, 2019</w:t>
            </w:r>
          </w:p>
        </w:tc>
      </w:tr>
    </w:tbl>
    <w:p w14:paraId="4BD01BEC" w14:textId="77777777" w:rsidR="00646CF2" w:rsidRPr="00646CF2" w:rsidRDefault="00646CF2" w:rsidP="00646CF2">
      <w:pPr>
        <w:ind w:left="1260" w:hanging="1260"/>
        <w:rPr>
          <w:rFonts w:cstheme="minorHAnsi"/>
          <w:color w:val="FF0000"/>
        </w:rPr>
      </w:pPr>
    </w:p>
    <w:p w14:paraId="09CC10D8" w14:textId="77777777" w:rsidR="00646CF2" w:rsidRPr="00646CF2" w:rsidRDefault="00646CF2" w:rsidP="00B12D4C">
      <w:pPr>
        <w:ind w:left="1260" w:hanging="1260"/>
        <w:rPr>
          <w:rFonts w:cstheme="minorHAnsi"/>
          <w:b/>
          <w:color w:val="000000" w:themeColor="text1"/>
        </w:rPr>
      </w:pPr>
    </w:p>
    <w:p w14:paraId="74AED55B" w14:textId="77777777" w:rsidR="00B12D4C" w:rsidRPr="00B12D4C" w:rsidRDefault="00B12D4C" w:rsidP="00B12D4C">
      <w:pPr>
        <w:ind w:left="1260" w:hanging="1260"/>
        <w:rPr>
          <w:rFonts w:cstheme="minorHAnsi"/>
          <w:color w:val="FF0000"/>
        </w:rPr>
      </w:pPr>
    </w:p>
    <w:sectPr w:rsidR="00B12D4C" w:rsidRPr="00B12D4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DF90" w14:textId="77777777" w:rsidR="00E1085B" w:rsidRDefault="00E1085B" w:rsidP="000A2AB9">
      <w:pPr>
        <w:spacing w:after="0" w:line="240" w:lineRule="auto"/>
      </w:pPr>
      <w:r>
        <w:separator/>
      </w:r>
    </w:p>
  </w:endnote>
  <w:endnote w:type="continuationSeparator" w:id="0">
    <w:p w14:paraId="2F8CF91D" w14:textId="77777777" w:rsidR="00E1085B" w:rsidRDefault="00E1085B" w:rsidP="000A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C629" w14:textId="77777777" w:rsidR="000A2AB9" w:rsidRDefault="000A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91261"/>
      <w:docPartObj>
        <w:docPartGallery w:val="Page Numbers (Bottom of Page)"/>
        <w:docPartUnique/>
      </w:docPartObj>
    </w:sdtPr>
    <w:sdtEndPr/>
    <w:sdtContent>
      <w:sdt>
        <w:sdtPr>
          <w:id w:val="1728636285"/>
          <w:docPartObj>
            <w:docPartGallery w:val="Page Numbers (Top of Page)"/>
            <w:docPartUnique/>
          </w:docPartObj>
        </w:sdtPr>
        <w:sdtEndPr/>
        <w:sdtContent>
          <w:p w14:paraId="62113BDF" w14:textId="6BE2892D" w:rsidR="000A2AB9" w:rsidRDefault="000A2AB9">
            <w:pPr>
              <w:pStyle w:val="Footer"/>
              <w:jc w:val="center"/>
            </w:pPr>
            <w:r>
              <w:t xml:space="preserve">Page </w:t>
            </w:r>
            <w:r w:rsidRPr="000A2AB9">
              <w:rPr>
                <w:bCs/>
                <w:sz w:val="24"/>
                <w:szCs w:val="24"/>
              </w:rPr>
              <w:fldChar w:fldCharType="begin"/>
            </w:r>
            <w:r w:rsidRPr="000A2AB9">
              <w:rPr>
                <w:bCs/>
              </w:rPr>
              <w:instrText xml:space="preserve"> PAGE </w:instrText>
            </w:r>
            <w:r w:rsidRPr="000A2AB9">
              <w:rPr>
                <w:bCs/>
                <w:sz w:val="24"/>
                <w:szCs w:val="24"/>
              </w:rPr>
              <w:fldChar w:fldCharType="separate"/>
            </w:r>
            <w:r w:rsidR="005C2883">
              <w:rPr>
                <w:bCs/>
                <w:noProof/>
              </w:rPr>
              <w:t>1</w:t>
            </w:r>
            <w:r w:rsidRPr="000A2AB9">
              <w:rPr>
                <w:bCs/>
                <w:sz w:val="24"/>
                <w:szCs w:val="24"/>
              </w:rPr>
              <w:fldChar w:fldCharType="end"/>
            </w:r>
            <w:r w:rsidRPr="000A2AB9">
              <w:t xml:space="preserve"> of </w:t>
            </w:r>
            <w:r w:rsidRPr="000A2AB9">
              <w:rPr>
                <w:bCs/>
                <w:sz w:val="24"/>
                <w:szCs w:val="24"/>
              </w:rPr>
              <w:fldChar w:fldCharType="begin"/>
            </w:r>
            <w:r w:rsidRPr="000A2AB9">
              <w:rPr>
                <w:bCs/>
              </w:rPr>
              <w:instrText xml:space="preserve"> NUMPAGES  </w:instrText>
            </w:r>
            <w:r w:rsidRPr="000A2AB9">
              <w:rPr>
                <w:bCs/>
                <w:sz w:val="24"/>
                <w:szCs w:val="24"/>
              </w:rPr>
              <w:fldChar w:fldCharType="separate"/>
            </w:r>
            <w:r w:rsidR="005C2883">
              <w:rPr>
                <w:bCs/>
                <w:noProof/>
              </w:rPr>
              <w:t>9</w:t>
            </w:r>
            <w:r w:rsidRPr="000A2AB9">
              <w:rPr>
                <w:bCs/>
                <w:sz w:val="24"/>
                <w:szCs w:val="24"/>
              </w:rPr>
              <w:fldChar w:fldCharType="end"/>
            </w:r>
          </w:p>
        </w:sdtContent>
      </w:sdt>
    </w:sdtContent>
  </w:sdt>
  <w:p w14:paraId="7B3A553B" w14:textId="77777777" w:rsidR="000A2AB9" w:rsidRDefault="000A2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F816" w14:textId="77777777" w:rsidR="000A2AB9" w:rsidRDefault="000A2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8229D" w14:textId="77777777" w:rsidR="00E1085B" w:rsidRDefault="00E1085B" w:rsidP="000A2AB9">
      <w:pPr>
        <w:spacing w:after="0" w:line="240" w:lineRule="auto"/>
      </w:pPr>
      <w:r>
        <w:separator/>
      </w:r>
    </w:p>
  </w:footnote>
  <w:footnote w:type="continuationSeparator" w:id="0">
    <w:p w14:paraId="69D28C61" w14:textId="77777777" w:rsidR="00E1085B" w:rsidRDefault="00E1085B" w:rsidP="000A2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E408" w14:textId="77777777" w:rsidR="000A2AB9" w:rsidRDefault="000A2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252B" w14:textId="77777777" w:rsidR="000A2AB9" w:rsidRDefault="000A2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FD64" w14:textId="77777777" w:rsidR="000A2AB9" w:rsidRDefault="000A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D7"/>
    <w:multiLevelType w:val="hybridMultilevel"/>
    <w:tmpl w:val="53A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185D"/>
    <w:multiLevelType w:val="hybridMultilevel"/>
    <w:tmpl w:val="654A453A"/>
    <w:lvl w:ilvl="0" w:tplc="052262E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673"/>
    <w:multiLevelType w:val="hybridMultilevel"/>
    <w:tmpl w:val="98127DF4"/>
    <w:lvl w:ilvl="0" w:tplc="FC9217A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87114"/>
    <w:multiLevelType w:val="hybridMultilevel"/>
    <w:tmpl w:val="8ACE6C78"/>
    <w:lvl w:ilvl="0" w:tplc="BB2066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000EF"/>
    <w:multiLevelType w:val="hybridMultilevel"/>
    <w:tmpl w:val="470E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8674BB"/>
    <w:multiLevelType w:val="hybridMultilevel"/>
    <w:tmpl w:val="B1243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696013"/>
    <w:multiLevelType w:val="hybridMultilevel"/>
    <w:tmpl w:val="BEEC0458"/>
    <w:lvl w:ilvl="0" w:tplc="969208D2">
      <w:start w:val="1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AD6E0B"/>
    <w:multiLevelType w:val="hybridMultilevel"/>
    <w:tmpl w:val="CFAEDB56"/>
    <w:lvl w:ilvl="0" w:tplc="BB20667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CC3F09"/>
    <w:multiLevelType w:val="hybridMultilevel"/>
    <w:tmpl w:val="E344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F1530D"/>
    <w:multiLevelType w:val="hybridMultilevel"/>
    <w:tmpl w:val="685E7032"/>
    <w:lvl w:ilvl="0" w:tplc="AC98D8F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A5B7C"/>
    <w:multiLevelType w:val="hybridMultilevel"/>
    <w:tmpl w:val="E1B0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8"/>
  </w:num>
  <w:num w:numId="6">
    <w:abstractNumId w:val="6"/>
  </w:num>
  <w:num w:numId="7">
    <w:abstractNumId w:val="1"/>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C7"/>
    <w:rsid w:val="00016911"/>
    <w:rsid w:val="00033191"/>
    <w:rsid w:val="000352FE"/>
    <w:rsid w:val="00040E50"/>
    <w:rsid w:val="00051B1B"/>
    <w:rsid w:val="0008652F"/>
    <w:rsid w:val="000A2AB9"/>
    <w:rsid w:val="000D1955"/>
    <w:rsid w:val="000D6916"/>
    <w:rsid w:val="000E351B"/>
    <w:rsid w:val="00110814"/>
    <w:rsid w:val="001461C5"/>
    <w:rsid w:val="00147C0D"/>
    <w:rsid w:val="001521C2"/>
    <w:rsid w:val="00156037"/>
    <w:rsid w:val="00157D9F"/>
    <w:rsid w:val="0016565E"/>
    <w:rsid w:val="00181EFE"/>
    <w:rsid w:val="001B2355"/>
    <w:rsid w:val="001C3055"/>
    <w:rsid w:val="001D0E81"/>
    <w:rsid w:val="001E0E89"/>
    <w:rsid w:val="001F275A"/>
    <w:rsid w:val="001F4733"/>
    <w:rsid w:val="00204E25"/>
    <w:rsid w:val="00205C8B"/>
    <w:rsid w:val="0025035E"/>
    <w:rsid w:val="002B3610"/>
    <w:rsid w:val="002D0E7A"/>
    <w:rsid w:val="002E14B1"/>
    <w:rsid w:val="002E5F5E"/>
    <w:rsid w:val="00307E88"/>
    <w:rsid w:val="00353554"/>
    <w:rsid w:val="0036233D"/>
    <w:rsid w:val="00384F0E"/>
    <w:rsid w:val="00397C02"/>
    <w:rsid w:val="003C2958"/>
    <w:rsid w:val="003C5219"/>
    <w:rsid w:val="003C5966"/>
    <w:rsid w:val="003D7BB8"/>
    <w:rsid w:val="003E5C34"/>
    <w:rsid w:val="004156C2"/>
    <w:rsid w:val="00434AD5"/>
    <w:rsid w:val="00470829"/>
    <w:rsid w:val="004B11D4"/>
    <w:rsid w:val="004C62F7"/>
    <w:rsid w:val="004C6414"/>
    <w:rsid w:val="004C73D2"/>
    <w:rsid w:val="004E1C02"/>
    <w:rsid w:val="00503900"/>
    <w:rsid w:val="00544BC7"/>
    <w:rsid w:val="00594BBB"/>
    <w:rsid w:val="0059712E"/>
    <w:rsid w:val="005A1DD3"/>
    <w:rsid w:val="005B0B6E"/>
    <w:rsid w:val="005B445A"/>
    <w:rsid w:val="005C219A"/>
    <w:rsid w:val="005C2883"/>
    <w:rsid w:val="005C7BFE"/>
    <w:rsid w:val="005D1D5C"/>
    <w:rsid w:val="00615068"/>
    <w:rsid w:val="00635409"/>
    <w:rsid w:val="00646CF2"/>
    <w:rsid w:val="0069775A"/>
    <w:rsid w:val="006B1CAA"/>
    <w:rsid w:val="006E7E30"/>
    <w:rsid w:val="006F6ECD"/>
    <w:rsid w:val="00754C56"/>
    <w:rsid w:val="00772307"/>
    <w:rsid w:val="007E3DB8"/>
    <w:rsid w:val="00805D50"/>
    <w:rsid w:val="0085341F"/>
    <w:rsid w:val="0088474C"/>
    <w:rsid w:val="00887B49"/>
    <w:rsid w:val="008A79E0"/>
    <w:rsid w:val="00914542"/>
    <w:rsid w:val="00917A7B"/>
    <w:rsid w:val="0093129F"/>
    <w:rsid w:val="009A1F9C"/>
    <w:rsid w:val="009C3096"/>
    <w:rsid w:val="00A11D86"/>
    <w:rsid w:val="00A24365"/>
    <w:rsid w:val="00A3330A"/>
    <w:rsid w:val="00A614B4"/>
    <w:rsid w:val="00A72CB6"/>
    <w:rsid w:val="00AC1B73"/>
    <w:rsid w:val="00AE0ABA"/>
    <w:rsid w:val="00AE3461"/>
    <w:rsid w:val="00AE77E1"/>
    <w:rsid w:val="00B12D4C"/>
    <w:rsid w:val="00B20309"/>
    <w:rsid w:val="00B42B53"/>
    <w:rsid w:val="00B541D4"/>
    <w:rsid w:val="00B60229"/>
    <w:rsid w:val="00B86189"/>
    <w:rsid w:val="00BA2803"/>
    <w:rsid w:val="00BC0A60"/>
    <w:rsid w:val="00BC251F"/>
    <w:rsid w:val="00BD68E9"/>
    <w:rsid w:val="00BE5101"/>
    <w:rsid w:val="00BE612C"/>
    <w:rsid w:val="00C27A92"/>
    <w:rsid w:val="00C4665E"/>
    <w:rsid w:val="00C66E03"/>
    <w:rsid w:val="00C90010"/>
    <w:rsid w:val="00C979C7"/>
    <w:rsid w:val="00CD23C3"/>
    <w:rsid w:val="00CD256C"/>
    <w:rsid w:val="00CE209E"/>
    <w:rsid w:val="00CE7FE8"/>
    <w:rsid w:val="00D90E8F"/>
    <w:rsid w:val="00DE7CB2"/>
    <w:rsid w:val="00E1085B"/>
    <w:rsid w:val="00E15823"/>
    <w:rsid w:val="00E212F8"/>
    <w:rsid w:val="00E23F68"/>
    <w:rsid w:val="00E52B53"/>
    <w:rsid w:val="00E6302F"/>
    <w:rsid w:val="00E71154"/>
    <w:rsid w:val="00E803FA"/>
    <w:rsid w:val="00E902D9"/>
    <w:rsid w:val="00EF3F91"/>
    <w:rsid w:val="00F243D2"/>
    <w:rsid w:val="00F4450C"/>
    <w:rsid w:val="00FB148C"/>
    <w:rsid w:val="00FD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D3FD"/>
  <w15:chartTrackingRefBased/>
  <w15:docId w15:val="{5598A28F-0A0E-45AB-B2DE-594F977E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8C"/>
    <w:pPr>
      <w:ind w:left="720"/>
      <w:contextualSpacing/>
    </w:pPr>
  </w:style>
  <w:style w:type="paragraph" w:styleId="NormalWeb">
    <w:name w:val="Normal (Web)"/>
    <w:basedOn w:val="Normal"/>
    <w:uiPriority w:val="99"/>
    <w:semiHidden/>
    <w:unhideWhenUsed/>
    <w:rsid w:val="00646CF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16911"/>
    <w:rPr>
      <w:sz w:val="16"/>
      <w:szCs w:val="16"/>
    </w:rPr>
  </w:style>
  <w:style w:type="paragraph" w:styleId="CommentText">
    <w:name w:val="annotation text"/>
    <w:basedOn w:val="Normal"/>
    <w:link w:val="CommentTextChar"/>
    <w:uiPriority w:val="99"/>
    <w:semiHidden/>
    <w:unhideWhenUsed/>
    <w:rsid w:val="00016911"/>
    <w:pPr>
      <w:spacing w:line="240" w:lineRule="auto"/>
    </w:pPr>
    <w:rPr>
      <w:sz w:val="20"/>
      <w:szCs w:val="20"/>
    </w:rPr>
  </w:style>
  <w:style w:type="character" w:customStyle="1" w:styleId="CommentTextChar">
    <w:name w:val="Comment Text Char"/>
    <w:basedOn w:val="DefaultParagraphFont"/>
    <w:link w:val="CommentText"/>
    <w:uiPriority w:val="99"/>
    <w:semiHidden/>
    <w:rsid w:val="00016911"/>
    <w:rPr>
      <w:sz w:val="20"/>
      <w:szCs w:val="20"/>
    </w:rPr>
  </w:style>
  <w:style w:type="paragraph" w:styleId="CommentSubject">
    <w:name w:val="annotation subject"/>
    <w:basedOn w:val="CommentText"/>
    <w:next w:val="CommentText"/>
    <w:link w:val="CommentSubjectChar"/>
    <w:uiPriority w:val="99"/>
    <w:semiHidden/>
    <w:unhideWhenUsed/>
    <w:rsid w:val="00016911"/>
    <w:rPr>
      <w:b/>
      <w:bCs/>
    </w:rPr>
  </w:style>
  <w:style w:type="character" w:customStyle="1" w:styleId="CommentSubjectChar">
    <w:name w:val="Comment Subject Char"/>
    <w:basedOn w:val="CommentTextChar"/>
    <w:link w:val="CommentSubject"/>
    <w:uiPriority w:val="99"/>
    <w:semiHidden/>
    <w:rsid w:val="00016911"/>
    <w:rPr>
      <w:b/>
      <w:bCs/>
      <w:sz w:val="20"/>
      <w:szCs w:val="20"/>
    </w:rPr>
  </w:style>
  <w:style w:type="paragraph" w:styleId="BalloonText">
    <w:name w:val="Balloon Text"/>
    <w:basedOn w:val="Normal"/>
    <w:link w:val="BalloonTextChar"/>
    <w:uiPriority w:val="99"/>
    <w:semiHidden/>
    <w:unhideWhenUsed/>
    <w:rsid w:val="0001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11"/>
    <w:rPr>
      <w:rFonts w:ascii="Segoe UI" w:hAnsi="Segoe UI" w:cs="Segoe UI"/>
      <w:sz w:val="18"/>
      <w:szCs w:val="18"/>
    </w:rPr>
  </w:style>
  <w:style w:type="character" w:styleId="Hyperlink">
    <w:name w:val="Hyperlink"/>
    <w:basedOn w:val="DefaultParagraphFont"/>
    <w:uiPriority w:val="99"/>
    <w:unhideWhenUsed/>
    <w:rsid w:val="00CD23C3"/>
    <w:rPr>
      <w:color w:val="0563C1" w:themeColor="hyperlink"/>
      <w:u w:val="single"/>
    </w:rPr>
  </w:style>
  <w:style w:type="paragraph" w:styleId="Header">
    <w:name w:val="header"/>
    <w:basedOn w:val="Normal"/>
    <w:link w:val="HeaderChar"/>
    <w:uiPriority w:val="99"/>
    <w:unhideWhenUsed/>
    <w:rsid w:val="000A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B9"/>
  </w:style>
  <w:style w:type="paragraph" w:styleId="Footer">
    <w:name w:val="footer"/>
    <w:basedOn w:val="Normal"/>
    <w:link w:val="FooterChar"/>
    <w:uiPriority w:val="99"/>
    <w:unhideWhenUsed/>
    <w:rsid w:val="000A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20739">
      <w:bodyDiv w:val="1"/>
      <w:marLeft w:val="0"/>
      <w:marRight w:val="0"/>
      <w:marTop w:val="0"/>
      <w:marBottom w:val="0"/>
      <w:divBdr>
        <w:top w:val="none" w:sz="0" w:space="0" w:color="auto"/>
        <w:left w:val="none" w:sz="0" w:space="0" w:color="auto"/>
        <w:bottom w:val="none" w:sz="0" w:space="0" w:color="auto"/>
        <w:right w:val="none" w:sz="0" w:space="0" w:color="auto"/>
      </w:divBdr>
    </w:div>
    <w:div w:id="1656758209">
      <w:bodyDiv w:val="1"/>
      <w:marLeft w:val="0"/>
      <w:marRight w:val="0"/>
      <w:marTop w:val="0"/>
      <w:marBottom w:val="0"/>
      <w:divBdr>
        <w:top w:val="none" w:sz="0" w:space="0" w:color="auto"/>
        <w:left w:val="none" w:sz="0" w:space="0" w:color="auto"/>
        <w:bottom w:val="none" w:sz="0" w:space="0" w:color="auto"/>
        <w:right w:val="none" w:sz="0" w:space="0" w:color="auto"/>
      </w:divBdr>
    </w:div>
    <w:div w:id="1724864860">
      <w:bodyDiv w:val="1"/>
      <w:marLeft w:val="0"/>
      <w:marRight w:val="0"/>
      <w:marTop w:val="0"/>
      <w:marBottom w:val="0"/>
      <w:divBdr>
        <w:top w:val="none" w:sz="0" w:space="0" w:color="auto"/>
        <w:left w:val="none" w:sz="0" w:space="0" w:color="auto"/>
        <w:bottom w:val="none" w:sz="0" w:space="0" w:color="auto"/>
        <w:right w:val="none" w:sz="0" w:space="0" w:color="auto"/>
      </w:divBdr>
    </w:div>
    <w:div w:id="19553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leg.wa.gov/RCW/default.aspx?cite=42.52.08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novation.cms.gov/initiatives/integrated-care-for-kids-mod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39.26.17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es.wa.gov/sites/default/files/public/documents/About/Procurement_reform/Policies/DES-170-00ComplaintsProtest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pp.leg.wa.gov/RCW/default.aspx?cite=42.52.08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000E-2990-49E7-A42F-90F3B75F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Holly J (HCA)</dc:creator>
  <cp:keywords/>
  <dc:description/>
  <cp:lastModifiedBy>Jones, Holly J (HCA)</cp:lastModifiedBy>
  <cp:revision>7</cp:revision>
  <dcterms:created xsi:type="dcterms:W3CDTF">2018-11-09T20:22:00Z</dcterms:created>
  <dcterms:modified xsi:type="dcterms:W3CDTF">2018-11-09T21:01:00Z</dcterms:modified>
</cp:coreProperties>
</file>