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0" w:rsidRDefault="00096950" w:rsidP="00096950">
      <w:pPr>
        <w:pStyle w:val="Heading2"/>
        <w:numPr>
          <w:ilvl w:val="0"/>
          <w:numId w:val="0"/>
        </w:numPr>
        <w:ind w:left="90"/>
      </w:pPr>
      <w:bookmarkStart w:id="0" w:name="_Ref517774628"/>
      <w:bookmarkStart w:id="1" w:name="_Toc518044354"/>
      <w:r>
        <w:t>Appendix 6 – Fully Insured Vision Plan PSPM Bid Rates</w:t>
      </w:r>
      <w:bookmarkEnd w:id="0"/>
      <w:bookmarkEnd w:id="1"/>
    </w:p>
    <w:p w:rsidR="00096950" w:rsidRDefault="00096950" w:rsidP="00096950">
      <w:pPr>
        <w:ind w:left="0"/>
      </w:pPr>
    </w:p>
    <w:p w:rsidR="00096950" w:rsidRDefault="00096950" w:rsidP="00096950">
      <w:pPr>
        <w:pStyle w:val="ListParagraph"/>
        <w:numPr>
          <w:ilvl w:val="0"/>
          <w:numId w:val="2"/>
        </w:numPr>
        <w:spacing w:before="120"/>
      </w:pPr>
      <w:r>
        <w:t xml:space="preserve"> Complete the following table. Failure to do so may result in Bidder’s disqualification from evaluation.</w:t>
      </w:r>
    </w:p>
    <w:p w:rsidR="00096950" w:rsidRDefault="00096950" w:rsidP="00096950">
      <w:pPr>
        <w:pStyle w:val="ListParagraph"/>
        <w:spacing w:before="12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8"/>
        <w:gridCol w:w="4522"/>
      </w:tblGrid>
      <w:tr w:rsidR="00096950" w:rsidTr="00AB7FA8">
        <w:trPr>
          <w:trHeight w:val="404"/>
        </w:trPr>
        <w:tc>
          <w:tcPr>
            <w:tcW w:w="5644" w:type="dxa"/>
            <w:shd w:val="clear" w:color="auto" w:fill="BDD6EE" w:themeFill="accent1" w:themeFillTint="66"/>
          </w:tcPr>
          <w:p w:rsidR="00096950" w:rsidRDefault="00096950" w:rsidP="00AB7FA8">
            <w:pPr>
              <w:pStyle w:val="Subtitle2"/>
              <w:ind w:left="0"/>
              <w:rPr>
                <w:rFonts w:eastAsia="Calibri" w:cstheme="minorHAnsi"/>
                <w:i w:val="0"/>
                <w:color w:val="auto"/>
                <w:sz w:val="20"/>
              </w:rPr>
            </w:pPr>
            <w:r w:rsidRPr="00860F41">
              <w:rPr>
                <w:rFonts w:eastAsia="Calibri" w:cstheme="minorHAnsi"/>
                <w:b/>
                <w:i w:val="0"/>
                <w:color w:val="auto"/>
                <w:sz w:val="20"/>
              </w:rPr>
              <w:t>Plan Name</w:t>
            </w:r>
            <w:r>
              <w:rPr>
                <w:rFonts w:eastAsia="Calibri" w:cstheme="minorHAnsi"/>
                <w:i w:val="0"/>
                <w:color w:val="auto"/>
                <w:sz w:val="20"/>
              </w:rPr>
              <w:t xml:space="preserve"> (must match plan name in Table 1 of </w:t>
            </w:r>
            <w:r w:rsidRPr="00860F41">
              <w:rPr>
                <w:rFonts w:eastAsia="Calibri" w:cstheme="minorHAnsi"/>
                <w:color w:val="auto"/>
                <w:sz w:val="20"/>
              </w:rPr>
              <w:t>Appendix 5 – Plan Designs</w:t>
            </w:r>
            <w:r>
              <w:rPr>
                <w:rFonts w:eastAsia="Calibri" w:cstheme="minorHAnsi"/>
                <w:i w:val="0"/>
                <w:color w:val="auto"/>
                <w:sz w:val="20"/>
              </w:rPr>
              <w:t>)</w:t>
            </w:r>
          </w:p>
        </w:tc>
        <w:tc>
          <w:tcPr>
            <w:tcW w:w="5644" w:type="dxa"/>
            <w:shd w:val="clear" w:color="auto" w:fill="BDD6EE" w:themeFill="accent1" w:themeFillTint="66"/>
          </w:tcPr>
          <w:p w:rsidR="00096950" w:rsidRPr="00860F41" w:rsidRDefault="00096950" w:rsidP="00AB7FA8">
            <w:pPr>
              <w:pStyle w:val="Subtitle2"/>
              <w:ind w:left="0"/>
              <w:rPr>
                <w:rFonts w:eastAsia="Calibri" w:cstheme="minorHAnsi"/>
                <w:b/>
                <w:i w:val="0"/>
                <w:color w:val="auto"/>
                <w:sz w:val="20"/>
              </w:rPr>
            </w:pPr>
            <w:r w:rsidRPr="00860F41">
              <w:rPr>
                <w:rFonts w:eastAsia="Calibri" w:cstheme="minorHAnsi"/>
                <w:b/>
                <w:i w:val="0"/>
                <w:color w:val="auto"/>
                <w:sz w:val="20"/>
              </w:rPr>
              <w:t xml:space="preserve">Per </w:t>
            </w:r>
            <w:r>
              <w:rPr>
                <w:rFonts w:eastAsia="Calibri" w:cstheme="minorHAnsi"/>
                <w:b/>
                <w:i w:val="0"/>
                <w:color w:val="auto"/>
                <w:sz w:val="20"/>
              </w:rPr>
              <w:t>Subscriber Unit</w:t>
            </w:r>
            <w:r w:rsidRPr="00860F41">
              <w:rPr>
                <w:rFonts w:eastAsia="Calibri" w:cstheme="minorHAnsi"/>
                <w:b/>
                <w:i w:val="0"/>
                <w:color w:val="auto"/>
                <w:sz w:val="20"/>
              </w:rPr>
              <w:t xml:space="preserve"> Per Month Premium</w:t>
            </w:r>
          </w:p>
        </w:tc>
      </w:tr>
      <w:tr w:rsidR="00096950" w:rsidTr="00AB7FA8">
        <w:trPr>
          <w:trHeight w:val="208"/>
        </w:trPr>
        <w:tc>
          <w:tcPr>
            <w:tcW w:w="5644" w:type="dxa"/>
          </w:tcPr>
          <w:p w:rsidR="00096950" w:rsidRDefault="00096950" w:rsidP="00AB7FA8">
            <w:pPr>
              <w:pStyle w:val="Subtitle2"/>
              <w:ind w:left="0"/>
              <w:rPr>
                <w:rFonts w:eastAsia="Calibri" w:cstheme="minorHAnsi"/>
                <w:i w:val="0"/>
                <w:color w:val="auto"/>
                <w:sz w:val="20"/>
              </w:rPr>
            </w:pPr>
          </w:p>
        </w:tc>
        <w:tc>
          <w:tcPr>
            <w:tcW w:w="5644" w:type="dxa"/>
          </w:tcPr>
          <w:p w:rsidR="00096950" w:rsidRDefault="00096950" w:rsidP="00AB7FA8">
            <w:pPr>
              <w:pStyle w:val="Subtitle2"/>
              <w:ind w:left="0"/>
              <w:rPr>
                <w:rFonts w:eastAsia="Calibri" w:cstheme="minorHAnsi"/>
                <w:i w:val="0"/>
                <w:color w:val="auto"/>
                <w:sz w:val="20"/>
              </w:rPr>
            </w:pPr>
          </w:p>
        </w:tc>
      </w:tr>
      <w:tr w:rsidR="00096950" w:rsidTr="00AB7FA8">
        <w:trPr>
          <w:trHeight w:val="201"/>
        </w:trPr>
        <w:tc>
          <w:tcPr>
            <w:tcW w:w="5644" w:type="dxa"/>
          </w:tcPr>
          <w:p w:rsidR="00096950" w:rsidRDefault="00096950" w:rsidP="00AB7FA8">
            <w:pPr>
              <w:pStyle w:val="Subtitle2"/>
              <w:ind w:left="0"/>
              <w:rPr>
                <w:rFonts w:eastAsia="Calibri" w:cstheme="minorHAnsi"/>
                <w:i w:val="0"/>
                <w:color w:val="auto"/>
                <w:sz w:val="20"/>
              </w:rPr>
            </w:pPr>
          </w:p>
        </w:tc>
        <w:tc>
          <w:tcPr>
            <w:tcW w:w="5644" w:type="dxa"/>
          </w:tcPr>
          <w:p w:rsidR="00096950" w:rsidRDefault="00096950" w:rsidP="00AB7FA8">
            <w:pPr>
              <w:pStyle w:val="Subtitle2"/>
              <w:ind w:left="0"/>
              <w:rPr>
                <w:rFonts w:eastAsia="Calibri" w:cstheme="minorHAnsi"/>
                <w:i w:val="0"/>
                <w:color w:val="auto"/>
                <w:sz w:val="20"/>
              </w:rPr>
            </w:pPr>
          </w:p>
        </w:tc>
      </w:tr>
      <w:tr w:rsidR="00096950" w:rsidTr="00AB7FA8">
        <w:trPr>
          <w:trHeight w:val="208"/>
        </w:trPr>
        <w:tc>
          <w:tcPr>
            <w:tcW w:w="5644" w:type="dxa"/>
          </w:tcPr>
          <w:p w:rsidR="00096950" w:rsidRDefault="00096950" w:rsidP="00AB7FA8">
            <w:pPr>
              <w:pStyle w:val="Subtitle2"/>
              <w:ind w:left="0"/>
              <w:rPr>
                <w:rFonts w:eastAsia="Calibri" w:cstheme="minorHAnsi"/>
                <w:i w:val="0"/>
                <w:color w:val="auto"/>
                <w:sz w:val="20"/>
              </w:rPr>
            </w:pPr>
          </w:p>
        </w:tc>
        <w:tc>
          <w:tcPr>
            <w:tcW w:w="5644" w:type="dxa"/>
          </w:tcPr>
          <w:p w:rsidR="00096950" w:rsidRDefault="00096950" w:rsidP="00AB7FA8">
            <w:pPr>
              <w:pStyle w:val="Subtitle2"/>
              <w:ind w:left="0"/>
              <w:rPr>
                <w:rFonts w:eastAsia="Calibri" w:cstheme="minorHAnsi"/>
                <w:i w:val="0"/>
                <w:color w:val="auto"/>
                <w:sz w:val="20"/>
              </w:rPr>
            </w:pPr>
          </w:p>
        </w:tc>
      </w:tr>
    </w:tbl>
    <w:p w:rsidR="00096950" w:rsidRDefault="00096950" w:rsidP="00096950">
      <w:pPr>
        <w:ind w:left="0"/>
      </w:pPr>
    </w:p>
    <w:p w:rsidR="00096950" w:rsidRPr="008C6ED5" w:rsidRDefault="00096950" w:rsidP="00096950">
      <w:pPr>
        <w:pStyle w:val="ListParagraph"/>
        <w:numPr>
          <w:ilvl w:val="0"/>
          <w:numId w:val="2"/>
        </w:numPr>
        <w:spacing w:before="120"/>
        <w:rPr>
          <w:rFonts w:eastAsia="Calibri" w:cstheme="minorHAnsi"/>
        </w:rPr>
      </w:pPr>
      <w:r>
        <w:rPr>
          <w:rFonts w:eastAsia="Calibri" w:cstheme="minorHAnsi"/>
          <w:i/>
        </w:rPr>
        <w:t>I</w:t>
      </w:r>
      <w:r w:rsidRPr="008C6ED5">
        <w:rPr>
          <w:rFonts w:eastAsia="Calibri" w:cstheme="minorHAnsi"/>
          <w:i/>
        </w:rPr>
        <w:t>s the</w:t>
      </w:r>
      <w:r>
        <w:rPr>
          <w:rFonts w:eastAsia="Calibri" w:cstheme="minorHAnsi"/>
          <w:i/>
        </w:rPr>
        <w:t>re</w:t>
      </w:r>
      <w:r w:rsidRPr="008C6ED5">
        <w:rPr>
          <w:rFonts w:eastAsia="Calibri" w:cstheme="minorHAnsi"/>
          <w:i/>
        </w:rPr>
        <w:t xml:space="preserve"> P</w:t>
      </w:r>
      <w:r>
        <w:rPr>
          <w:rFonts w:eastAsia="Calibri" w:cstheme="minorHAnsi"/>
          <w:i/>
        </w:rPr>
        <w:t>S</w:t>
      </w:r>
      <w:r w:rsidRPr="008C6ED5">
        <w:rPr>
          <w:rFonts w:eastAsia="Calibri" w:cstheme="minorHAnsi"/>
          <w:i/>
        </w:rPr>
        <w:t>PM rate guarantee</w:t>
      </w:r>
      <w:r>
        <w:rPr>
          <w:rFonts w:eastAsia="Calibri" w:cstheme="minorHAnsi"/>
          <w:i/>
        </w:rPr>
        <w:t xml:space="preserve"> for more than the first year of the initial term of the Contract</w:t>
      </w:r>
      <w:r w:rsidRPr="008C6ED5">
        <w:rPr>
          <w:rFonts w:eastAsia="Calibri" w:cstheme="minorHAnsi"/>
          <w:i/>
        </w:rPr>
        <w:t>?</w:t>
      </w:r>
    </w:p>
    <w:p w:rsidR="00096950" w:rsidRDefault="00096950" w:rsidP="00096950">
      <w:pPr>
        <w:ind w:left="0"/>
      </w:pPr>
    </w:p>
    <w:p w:rsidR="00DB32D7" w:rsidRDefault="00DB32D7" w:rsidP="00096950">
      <w:pPr>
        <w:spacing w:after="160" w:line="259" w:lineRule="auto"/>
        <w:ind w:left="0"/>
      </w:pPr>
      <w:bookmarkStart w:id="2" w:name="_GoBack"/>
      <w:bookmarkEnd w:id="2"/>
    </w:p>
    <w:sectPr w:rsidR="00DB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5817"/>
    <w:multiLevelType w:val="multilevel"/>
    <w:tmpl w:val="F9B09F1C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2."/>
      <w:lvlJc w:val="left"/>
      <w:pPr>
        <w:ind w:left="142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71B0F1D"/>
    <w:multiLevelType w:val="hybridMultilevel"/>
    <w:tmpl w:val="95E63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50"/>
    <w:rsid w:val="00096950"/>
    <w:rsid w:val="00D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F556"/>
  <w15:chartTrackingRefBased/>
  <w15:docId w15:val="{980D8FF1-EFEE-4B10-B93C-1555176D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50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96950"/>
    <w:pPr>
      <w:keepNext/>
      <w:numPr>
        <w:numId w:val="1"/>
      </w:numPr>
      <w:contextualSpacing w:val="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96950"/>
    <w:pPr>
      <w:keepNext/>
      <w:numPr>
        <w:ilvl w:val="1"/>
        <w:numId w:val="1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contextualSpacing w:val="0"/>
      <w:jc w:val="both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95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50"/>
    <w:rPr>
      <w:rFonts w:ascii="Arial" w:eastAsia="Times New Roman" w:hAnsi="Arial" w:cs="Arial"/>
      <w:b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09695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96950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9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link w:val="Subtitle2Char"/>
    <w:qFormat/>
    <w:rsid w:val="00096950"/>
    <w:pPr>
      <w:keepNext/>
    </w:pPr>
    <w:rPr>
      <w:i/>
      <w:color w:val="0070C0"/>
      <w:sz w:val="22"/>
      <w:u w:val="single"/>
    </w:rPr>
  </w:style>
  <w:style w:type="character" w:customStyle="1" w:styleId="Subtitle2Char">
    <w:name w:val="Subtitle 2 Char"/>
    <w:basedOn w:val="DefaultParagraphFont"/>
    <w:link w:val="Subtitle2"/>
    <w:rsid w:val="00096950"/>
    <w:rPr>
      <w:rFonts w:ascii="Arial" w:eastAsia="Times New Roman" w:hAnsi="Arial" w:cs="Arial"/>
      <w:i/>
      <w:color w:val="0070C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Wolfhagen, Ellen Y. (HCA)</dc:creator>
  <cp:keywords/>
  <dc:description/>
  <cp:lastModifiedBy>Wolfhagen, Ellen Y. (HCA)</cp:lastModifiedBy>
  <cp:revision>1</cp:revision>
  <dcterms:created xsi:type="dcterms:W3CDTF">2018-07-16T23:50:00Z</dcterms:created>
  <dcterms:modified xsi:type="dcterms:W3CDTF">2018-07-16T23:50:00Z</dcterms:modified>
</cp:coreProperties>
</file>