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13" w:rsidRDefault="00497B13" w:rsidP="00497B13">
      <w:pPr>
        <w:tabs>
          <w:tab w:val="left" w:pos="742"/>
        </w:tabs>
        <w:ind w:left="0"/>
      </w:pPr>
    </w:p>
    <w:p w:rsidR="00497B13" w:rsidRDefault="00497B13" w:rsidP="00497B13">
      <w:pPr>
        <w:pStyle w:val="Heading2"/>
        <w:numPr>
          <w:ilvl w:val="0"/>
          <w:numId w:val="0"/>
        </w:numPr>
        <w:ind w:left="90"/>
      </w:pPr>
      <w:bookmarkStart w:id="0" w:name="_Toc516760934"/>
      <w:bookmarkStart w:id="1" w:name="_Ref517774612"/>
      <w:r>
        <w:t>Appendix 5 – Plan Designs</w:t>
      </w:r>
      <w:bookmarkEnd w:id="0"/>
      <w:bookmarkEnd w:id="1"/>
    </w:p>
    <w:p w:rsidR="00497B13" w:rsidRDefault="00497B13" w:rsidP="00497B13"/>
    <w:p w:rsidR="00497B13" w:rsidRDefault="00497B13" w:rsidP="00497B13">
      <w:pPr>
        <w:ind w:left="0"/>
      </w:pPr>
      <w:r>
        <w:t>Use the template in Table 1 to propose the Bidder’s SEBB account plan designs. The options listed in Table 1 should be considered examples of what a plan design could include. Only those options italicized must be covered by the Bidder. If there are options in the list that the Bidder does not include in their plan(s), please mark it as “N/A.” The Bidder is free to add to Table 1 as needed in order to provide HCA with the plan designs the Bidder wants to propose.</w:t>
      </w:r>
    </w:p>
    <w:p w:rsidR="00497B13" w:rsidRDefault="00497B13" w:rsidP="00497B13">
      <w:pPr>
        <w:ind w:left="0"/>
      </w:pPr>
    </w:p>
    <w:p w:rsidR="00497B13" w:rsidRDefault="00497B13" w:rsidP="00497B13">
      <w:pPr>
        <w:ind w:left="0"/>
      </w:pPr>
      <w:r>
        <w:t>Table 1</w:t>
      </w:r>
    </w:p>
    <w:tbl>
      <w:tblPr>
        <w:tblStyle w:val="TableGrid"/>
        <w:tblW w:w="0" w:type="auto"/>
        <w:tblLook w:val="04A0" w:firstRow="1" w:lastRow="0" w:firstColumn="1" w:lastColumn="0" w:noHBand="0" w:noVBand="1"/>
      </w:tblPr>
      <w:tblGrid>
        <w:gridCol w:w="3945"/>
        <w:gridCol w:w="2526"/>
        <w:gridCol w:w="2879"/>
      </w:tblGrid>
      <w:tr w:rsidR="00497B13" w:rsidTr="005C2CB8">
        <w:trPr>
          <w:trHeight w:val="221"/>
        </w:trPr>
        <w:tc>
          <w:tcPr>
            <w:tcW w:w="10885" w:type="dxa"/>
            <w:gridSpan w:val="3"/>
            <w:shd w:val="clear" w:color="auto" w:fill="BDD6EE" w:themeFill="accent1" w:themeFillTint="66"/>
          </w:tcPr>
          <w:p w:rsidR="00497B13" w:rsidRDefault="00497B13" w:rsidP="005C2CB8">
            <w:pPr>
              <w:ind w:left="0"/>
              <w:jc w:val="center"/>
              <w:rPr>
                <w:b/>
                <w:sz w:val="24"/>
                <w:szCs w:val="24"/>
              </w:rPr>
            </w:pPr>
            <w:r>
              <w:rPr>
                <w:b/>
                <w:sz w:val="24"/>
                <w:szCs w:val="24"/>
              </w:rPr>
              <w:t>“Plan Name”</w:t>
            </w:r>
          </w:p>
        </w:tc>
      </w:tr>
      <w:tr w:rsidR="00497B13" w:rsidTr="005C2CB8">
        <w:trPr>
          <w:trHeight w:val="221"/>
        </w:trPr>
        <w:tc>
          <w:tcPr>
            <w:tcW w:w="10885" w:type="dxa"/>
            <w:gridSpan w:val="3"/>
          </w:tcPr>
          <w:p w:rsidR="00497B13" w:rsidRPr="00D26259" w:rsidRDefault="00497B13" w:rsidP="005C2CB8">
            <w:pPr>
              <w:ind w:left="0"/>
              <w:jc w:val="center"/>
              <w:rPr>
                <w:i/>
              </w:rPr>
            </w:pPr>
            <w:r w:rsidRPr="00D26259">
              <w:rPr>
                <w:i/>
              </w:rPr>
              <w:t>Identify here if plan is fully insured or self-insured</w:t>
            </w:r>
          </w:p>
        </w:tc>
      </w:tr>
      <w:tr w:rsidR="00497B13" w:rsidTr="005C2CB8">
        <w:trPr>
          <w:trHeight w:val="221"/>
        </w:trPr>
        <w:tc>
          <w:tcPr>
            <w:tcW w:w="4495" w:type="dxa"/>
          </w:tcPr>
          <w:p w:rsidR="00497B13" w:rsidRPr="00260D5B" w:rsidRDefault="00497B13" w:rsidP="005C2CB8">
            <w:pPr>
              <w:ind w:left="0"/>
              <w:rPr>
                <w:b/>
                <w:sz w:val="24"/>
                <w:szCs w:val="24"/>
              </w:rPr>
            </w:pPr>
            <w:r w:rsidRPr="00260D5B">
              <w:rPr>
                <w:b/>
                <w:sz w:val="24"/>
                <w:szCs w:val="24"/>
              </w:rPr>
              <w:t>Description</w:t>
            </w:r>
          </w:p>
        </w:tc>
        <w:tc>
          <w:tcPr>
            <w:tcW w:w="3060" w:type="dxa"/>
          </w:tcPr>
          <w:p w:rsidR="00497B13" w:rsidRPr="00260D5B" w:rsidRDefault="00497B13" w:rsidP="005C2CB8">
            <w:pPr>
              <w:ind w:left="0"/>
              <w:jc w:val="center"/>
              <w:rPr>
                <w:b/>
                <w:sz w:val="24"/>
                <w:szCs w:val="24"/>
              </w:rPr>
            </w:pPr>
            <w:r>
              <w:rPr>
                <w:b/>
                <w:sz w:val="24"/>
                <w:szCs w:val="24"/>
              </w:rPr>
              <w:t>In-Network</w:t>
            </w:r>
          </w:p>
        </w:tc>
        <w:tc>
          <w:tcPr>
            <w:tcW w:w="3330" w:type="dxa"/>
          </w:tcPr>
          <w:p w:rsidR="00497B13" w:rsidRDefault="00497B13" w:rsidP="005C2CB8">
            <w:pPr>
              <w:ind w:left="0"/>
              <w:jc w:val="center"/>
              <w:rPr>
                <w:b/>
                <w:sz w:val="24"/>
                <w:szCs w:val="24"/>
              </w:rPr>
            </w:pPr>
            <w:r>
              <w:rPr>
                <w:b/>
                <w:sz w:val="24"/>
                <w:szCs w:val="24"/>
              </w:rPr>
              <w:t xml:space="preserve">Out-of-Network </w:t>
            </w:r>
          </w:p>
        </w:tc>
      </w:tr>
      <w:tr w:rsidR="00497B13" w:rsidTr="005C2CB8">
        <w:trPr>
          <w:trHeight w:val="221"/>
        </w:trPr>
        <w:tc>
          <w:tcPr>
            <w:tcW w:w="4495" w:type="dxa"/>
          </w:tcPr>
          <w:p w:rsidR="00497B13" w:rsidRPr="00260D5B" w:rsidRDefault="00497B13" w:rsidP="005C2CB8">
            <w:pPr>
              <w:ind w:left="0"/>
              <w:rPr>
                <w:b/>
              </w:rPr>
            </w:pPr>
          </w:p>
        </w:tc>
        <w:tc>
          <w:tcPr>
            <w:tcW w:w="3060" w:type="dxa"/>
          </w:tcPr>
          <w:p w:rsidR="00497B13" w:rsidRDefault="00497B13" w:rsidP="005C2CB8">
            <w:pPr>
              <w:ind w:left="0"/>
              <w:jc w:val="center"/>
            </w:pPr>
            <w:r>
              <w:t>Member Cost</w:t>
            </w:r>
          </w:p>
        </w:tc>
        <w:tc>
          <w:tcPr>
            <w:tcW w:w="3330" w:type="dxa"/>
          </w:tcPr>
          <w:p w:rsidR="00497B13" w:rsidRDefault="00497B13" w:rsidP="005C2CB8">
            <w:pPr>
              <w:ind w:left="0"/>
              <w:jc w:val="center"/>
            </w:pPr>
            <w:r>
              <w:t>Member Cost or Reimbursements (identify which)</w:t>
            </w:r>
          </w:p>
        </w:tc>
      </w:tr>
      <w:tr w:rsidR="00497B13" w:rsidTr="005C2CB8">
        <w:trPr>
          <w:trHeight w:val="221"/>
        </w:trPr>
        <w:tc>
          <w:tcPr>
            <w:tcW w:w="4495" w:type="dxa"/>
          </w:tcPr>
          <w:p w:rsidR="00497B13" w:rsidRPr="00260D5B" w:rsidRDefault="00497B13" w:rsidP="005C2CB8">
            <w:pPr>
              <w:ind w:left="0"/>
              <w:rPr>
                <w:b/>
              </w:rPr>
            </w:pPr>
            <w:r w:rsidRPr="00260D5B">
              <w:rPr>
                <w:b/>
              </w:rPr>
              <w:t>Exam Options</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Pr="00260D5B" w:rsidRDefault="00497B13" w:rsidP="005C2CB8">
            <w:pPr>
              <w:ind w:left="0"/>
              <w:rPr>
                <w:i/>
              </w:rPr>
            </w:pPr>
            <w:r w:rsidRPr="00260D5B">
              <w:rPr>
                <w:i/>
              </w:rPr>
              <w:t>Routine Eye Exam</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Pr="00260D5B" w:rsidRDefault="00497B13" w:rsidP="005C2CB8">
            <w:pPr>
              <w:ind w:left="0"/>
              <w:rPr>
                <w:i/>
              </w:rPr>
            </w:pPr>
            <w:r w:rsidRPr="00260D5B">
              <w:rPr>
                <w:i/>
              </w:rPr>
              <w:t>Contact Lens evaluation, fit and follow-up care</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Pr="00260D5B" w:rsidRDefault="00497B13" w:rsidP="005C2CB8">
            <w:pPr>
              <w:ind w:left="0"/>
              <w:rPr>
                <w:i/>
              </w:rPr>
            </w:pPr>
            <w:r w:rsidRPr="00260D5B">
              <w:rPr>
                <w:i/>
              </w:rPr>
              <w:t>Out-of-Network Routine Eye Exam</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Pr="00260D5B" w:rsidRDefault="00497B13" w:rsidP="005C2CB8">
            <w:pPr>
              <w:ind w:left="0"/>
              <w:rPr>
                <w:b/>
              </w:rPr>
            </w:pPr>
            <w:r>
              <w:rPr>
                <w:b/>
              </w:rPr>
              <w:t>Eyeglass Benefit – F</w:t>
            </w:r>
            <w:r w:rsidRPr="00260D5B">
              <w:rPr>
                <w:b/>
              </w:rPr>
              <w:t>rames</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Pr="00260D5B" w:rsidRDefault="00497B13" w:rsidP="005C2CB8">
            <w:pPr>
              <w:ind w:left="0"/>
              <w:rPr>
                <w:i/>
              </w:rPr>
            </w:pPr>
            <w:r w:rsidRPr="00260D5B">
              <w:rPr>
                <w:i/>
              </w:rPr>
              <w:t xml:space="preserve">Frames </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Pr="00260D5B" w:rsidRDefault="00497B13" w:rsidP="005C2CB8">
            <w:pPr>
              <w:ind w:left="0"/>
              <w:rPr>
                <w:b/>
              </w:rPr>
            </w:pPr>
            <w:r>
              <w:rPr>
                <w:b/>
              </w:rPr>
              <w:t xml:space="preserve">Eyeglass Benefit – </w:t>
            </w:r>
            <w:r w:rsidRPr="00260D5B">
              <w:rPr>
                <w:b/>
              </w:rPr>
              <w:t>Spectacle Lenses</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Pr="00260D5B" w:rsidRDefault="00497B13" w:rsidP="005C2CB8">
            <w:pPr>
              <w:ind w:left="0"/>
              <w:rPr>
                <w:i/>
              </w:rPr>
            </w:pPr>
            <w:r w:rsidRPr="00260D5B">
              <w:rPr>
                <w:i/>
              </w:rPr>
              <w:t>Single</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Pr="00260D5B" w:rsidRDefault="00497B13" w:rsidP="005C2CB8">
            <w:pPr>
              <w:ind w:left="0"/>
              <w:rPr>
                <w:i/>
              </w:rPr>
            </w:pPr>
            <w:r w:rsidRPr="00260D5B">
              <w:rPr>
                <w:i/>
              </w:rPr>
              <w:t>Bifocal</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Pr="00260D5B" w:rsidRDefault="00497B13" w:rsidP="005C2CB8">
            <w:pPr>
              <w:ind w:left="0"/>
              <w:rPr>
                <w:i/>
              </w:rPr>
            </w:pPr>
            <w:r w:rsidRPr="00260D5B">
              <w:rPr>
                <w:i/>
              </w:rPr>
              <w:t>Trifocal</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Pr="00260D5B" w:rsidRDefault="00497B13" w:rsidP="005C2CB8">
            <w:pPr>
              <w:ind w:left="0"/>
              <w:rPr>
                <w:i/>
              </w:rPr>
            </w:pPr>
            <w:r w:rsidRPr="00260D5B">
              <w:rPr>
                <w:i/>
              </w:rPr>
              <w:t>Lenticular</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Pr="00260D5B" w:rsidRDefault="00497B13" w:rsidP="005C2CB8">
            <w:pPr>
              <w:ind w:left="0"/>
              <w:rPr>
                <w:b/>
              </w:rPr>
            </w:pPr>
            <w:r>
              <w:rPr>
                <w:b/>
              </w:rPr>
              <w:t xml:space="preserve">Eyeglass Benefit – </w:t>
            </w:r>
            <w:r w:rsidRPr="00260D5B">
              <w:rPr>
                <w:b/>
              </w:rPr>
              <w:t>Lens Options</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r>
              <w:t>Tinting (Solid and Gradient)</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r>
              <w:t>Scratch-Resistant Coating</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r>
              <w:t>Polycarbonate Lenses – Adults</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r>
              <w:t>Polycarbonate Lenses – Kids under 19</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r>
              <w:t>Ultraviolet Coating</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r>
              <w:t>Anti-Reflective (AR) Coating (Standard)</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r>
              <w:t>Anti-Reflective (AR) Coating (Premium)</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proofErr w:type="spellStart"/>
            <w:r>
              <w:t>Photochromatic</w:t>
            </w:r>
            <w:proofErr w:type="spellEnd"/>
            <w:r>
              <w:t>/Transition Lenses</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r>
              <w:t>Polarized</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r>
              <w:t>Blue Light Filtering</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r>
              <w:t>High-Index Lenses</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Default="00497B13" w:rsidP="005C2CB8">
            <w:pPr>
              <w:ind w:left="0"/>
            </w:pPr>
            <w:r w:rsidRPr="00260D5B">
              <w:rPr>
                <w:b/>
              </w:rPr>
              <w:t>Contact Lens Benefit</w:t>
            </w:r>
            <w:r>
              <w:t xml:space="preserve"> </w:t>
            </w:r>
            <w:r w:rsidRPr="00260D5B">
              <w:rPr>
                <w:i/>
              </w:rPr>
              <w:t>(identify if in lieu of any of the eyeglass benefit (lenses and/or frames)</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21"/>
        </w:trPr>
        <w:tc>
          <w:tcPr>
            <w:tcW w:w="4495" w:type="dxa"/>
          </w:tcPr>
          <w:p w:rsidR="00497B13" w:rsidRPr="00260D5B" w:rsidRDefault="00497B13" w:rsidP="005C2CB8">
            <w:pPr>
              <w:ind w:left="0"/>
              <w:rPr>
                <w:i/>
              </w:rPr>
            </w:pPr>
            <w:r w:rsidRPr="00260D5B">
              <w:rPr>
                <w:i/>
              </w:rPr>
              <w:t>Conventional</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Default="00497B13" w:rsidP="005C2CB8">
            <w:pPr>
              <w:ind w:left="0"/>
            </w:pPr>
            <w:r>
              <w:t>Disposable</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Pr="00260D5B" w:rsidRDefault="00497B13" w:rsidP="005C2CB8">
            <w:pPr>
              <w:ind w:left="0"/>
              <w:rPr>
                <w:i/>
              </w:rPr>
            </w:pPr>
            <w:r w:rsidRPr="00260D5B">
              <w:rPr>
                <w:i/>
              </w:rPr>
              <w:t>Medically Necessary</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Pr="00260D5B" w:rsidRDefault="00497B13" w:rsidP="005C2CB8">
            <w:pPr>
              <w:ind w:left="0"/>
              <w:rPr>
                <w:b/>
              </w:rPr>
            </w:pPr>
            <w:r w:rsidRPr="00260D5B">
              <w:rPr>
                <w:b/>
              </w:rPr>
              <w:t>Laser Vision Correction</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Default="00497B13" w:rsidP="005C2CB8">
            <w:pPr>
              <w:ind w:left="0"/>
            </w:pPr>
            <w:r>
              <w:t>LASIK or PRK</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Pr="00D26259" w:rsidRDefault="00497B13" w:rsidP="005C2CB8">
            <w:pPr>
              <w:ind w:left="0"/>
              <w:rPr>
                <w:b/>
              </w:rPr>
            </w:pPr>
            <w:r w:rsidRPr="00D26259">
              <w:rPr>
                <w:b/>
              </w:rPr>
              <w:t>Additional Add-ons</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Default="00497B13" w:rsidP="005C2CB8">
            <w:pPr>
              <w:ind w:left="0"/>
            </w:pPr>
            <w:r>
              <w:t>Additional glasses (Eyeglasses or Sunglasses)</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Default="00497B13" w:rsidP="005C2CB8">
            <w:pPr>
              <w:ind w:left="0"/>
            </w:pPr>
            <w:r>
              <w:t>Non-prescription Sunglasses</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Default="00497B13" w:rsidP="005C2CB8">
            <w:pPr>
              <w:ind w:left="0"/>
            </w:pPr>
            <w:r>
              <w:lastRenderedPageBreak/>
              <w:t>Retinal Imaging</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Pr="00664716" w:rsidRDefault="00497B13" w:rsidP="005C2CB8">
            <w:pPr>
              <w:ind w:left="0"/>
              <w:rPr>
                <w:b/>
              </w:rPr>
            </w:pPr>
            <w:r w:rsidRPr="00664716">
              <w:rPr>
                <w:b/>
              </w:rPr>
              <w:t>Frequency</w:t>
            </w:r>
          </w:p>
        </w:tc>
        <w:tc>
          <w:tcPr>
            <w:tcW w:w="3060" w:type="dxa"/>
          </w:tcPr>
          <w:p w:rsidR="00497B13" w:rsidRDefault="00497B13" w:rsidP="005C2CB8">
            <w:pPr>
              <w:ind w:left="0"/>
            </w:pPr>
          </w:p>
        </w:tc>
        <w:tc>
          <w:tcPr>
            <w:tcW w:w="3330" w:type="dxa"/>
          </w:tcPr>
          <w:p w:rsidR="00497B13" w:rsidRDefault="00497B13" w:rsidP="005C2CB8">
            <w:pPr>
              <w:ind w:left="0"/>
            </w:pPr>
          </w:p>
        </w:tc>
      </w:tr>
      <w:tr w:rsidR="00497B13" w:rsidTr="005C2CB8">
        <w:trPr>
          <w:trHeight w:val="230"/>
        </w:trPr>
        <w:tc>
          <w:tcPr>
            <w:tcW w:w="4495" w:type="dxa"/>
          </w:tcPr>
          <w:p w:rsidR="00497B13" w:rsidRPr="00664716" w:rsidRDefault="00497B13" w:rsidP="005C2CB8">
            <w:pPr>
              <w:ind w:left="0"/>
              <w:rPr>
                <w:i/>
              </w:rPr>
            </w:pPr>
            <w:r w:rsidRPr="00664716">
              <w:rPr>
                <w:i/>
              </w:rPr>
              <w:t>Routine Eye Exam</w:t>
            </w:r>
          </w:p>
        </w:tc>
        <w:tc>
          <w:tcPr>
            <w:tcW w:w="3060" w:type="dxa"/>
          </w:tcPr>
          <w:p w:rsidR="00497B13" w:rsidRPr="00664716" w:rsidRDefault="00497B13" w:rsidP="005C2CB8">
            <w:pPr>
              <w:ind w:left="0"/>
              <w:jc w:val="center"/>
              <w:rPr>
                <w:i/>
              </w:rPr>
            </w:pPr>
            <w:r w:rsidRPr="00664716">
              <w:rPr>
                <w:i/>
              </w:rPr>
              <w:t>12 months</w:t>
            </w:r>
          </w:p>
        </w:tc>
        <w:tc>
          <w:tcPr>
            <w:tcW w:w="3330" w:type="dxa"/>
          </w:tcPr>
          <w:p w:rsidR="00497B13" w:rsidRPr="00212A34" w:rsidRDefault="00497B13" w:rsidP="005C2CB8">
            <w:pPr>
              <w:ind w:left="0"/>
              <w:jc w:val="center"/>
              <w:rPr>
                <w:i/>
              </w:rPr>
            </w:pPr>
          </w:p>
        </w:tc>
      </w:tr>
      <w:tr w:rsidR="00497B13" w:rsidTr="005C2CB8">
        <w:trPr>
          <w:trHeight w:val="230"/>
        </w:trPr>
        <w:tc>
          <w:tcPr>
            <w:tcW w:w="4495" w:type="dxa"/>
          </w:tcPr>
          <w:p w:rsidR="00497B13" w:rsidRPr="00664716" w:rsidRDefault="00497B13" w:rsidP="005C2CB8">
            <w:pPr>
              <w:ind w:left="0"/>
              <w:rPr>
                <w:i/>
              </w:rPr>
            </w:pPr>
            <w:r w:rsidRPr="00664716">
              <w:rPr>
                <w:i/>
              </w:rPr>
              <w:t>Spectacle Lenses</w:t>
            </w:r>
          </w:p>
        </w:tc>
        <w:tc>
          <w:tcPr>
            <w:tcW w:w="3060" w:type="dxa"/>
          </w:tcPr>
          <w:p w:rsidR="00497B13" w:rsidRPr="00664716" w:rsidRDefault="00497B13" w:rsidP="005C2CB8">
            <w:pPr>
              <w:ind w:left="0"/>
              <w:jc w:val="center"/>
              <w:rPr>
                <w:i/>
              </w:rPr>
            </w:pPr>
            <w:r w:rsidRPr="00664716">
              <w:rPr>
                <w:i/>
              </w:rPr>
              <w:t>12 months</w:t>
            </w:r>
          </w:p>
        </w:tc>
        <w:tc>
          <w:tcPr>
            <w:tcW w:w="3330" w:type="dxa"/>
          </w:tcPr>
          <w:p w:rsidR="00497B13" w:rsidRPr="00212A34" w:rsidRDefault="00497B13" w:rsidP="005C2CB8">
            <w:pPr>
              <w:ind w:left="0"/>
              <w:jc w:val="center"/>
              <w:rPr>
                <w:i/>
              </w:rPr>
            </w:pPr>
          </w:p>
        </w:tc>
      </w:tr>
      <w:tr w:rsidR="00497B13" w:rsidTr="005C2CB8">
        <w:trPr>
          <w:trHeight w:val="230"/>
        </w:trPr>
        <w:tc>
          <w:tcPr>
            <w:tcW w:w="4495" w:type="dxa"/>
          </w:tcPr>
          <w:p w:rsidR="00497B13" w:rsidRPr="00664716" w:rsidRDefault="00497B13" w:rsidP="005C2CB8">
            <w:pPr>
              <w:ind w:left="0"/>
              <w:rPr>
                <w:i/>
              </w:rPr>
            </w:pPr>
            <w:r w:rsidRPr="00664716">
              <w:rPr>
                <w:i/>
              </w:rPr>
              <w:t>Frame</w:t>
            </w:r>
          </w:p>
        </w:tc>
        <w:tc>
          <w:tcPr>
            <w:tcW w:w="3060" w:type="dxa"/>
          </w:tcPr>
          <w:p w:rsidR="00497B13" w:rsidRPr="00664716" w:rsidRDefault="00497B13" w:rsidP="005C2CB8">
            <w:pPr>
              <w:ind w:left="0"/>
              <w:jc w:val="center"/>
              <w:rPr>
                <w:i/>
              </w:rPr>
            </w:pPr>
            <w:r w:rsidRPr="00664716">
              <w:rPr>
                <w:i/>
              </w:rPr>
              <w:t>24 months</w:t>
            </w:r>
          </w:p>
        </w:tc>
        <w:tc>
          <w:tcPr>
            <w:tcW w:w="3330" w:type="dxa"/>
          </w:tcPr>
          <w:p w:rsidR="00497B13" w:rsidRPr="00212A34" w:rsidRDefault="00497B13" w:rsidP="005C2CB8">
            <w:pPr>
              <w:ind w:left="0"/>
              <w:jc w:val="center"/>
              <w:rPr>
                <w:i/>
              </w:rPr>
            </w:pPr>
          </w:p>
        </w:tc>
      </w:tr>
      <w:tr w:rsidR="00497B13" w:rsidTr="005C2CB8">
        <w:trPr>
          <w:trHeight w:val="230"/>
        </w:trPr>
        <w:tc>
          <w:tcPr>
            <w:tcW w:w="4495" w:type="dxa"/>
          </w:tcPr>
          <w:p w:rsidR="00497B13" w:rsidRPr="00664716" w:rsidRDefault="00497B13" w:rsidP="005C2CB8">
            <w:pPr>
              <w:ind w:left="0"/>
              <w:rPr>
                <w:i/>
              </w:rPr>
            </w:pPr>
            <w:r w:rsidRPr="00664716">
              <w:rPr>
                <w:i/>
              </w:rPr>
              <w:t>Contact Lens Evaluation, Fit and Follow-up Care (identify if in lieu of eyeglasses)</w:t>
            </w:r>
          </w:p>
        </w:tc>
        <w:tc>
          <w:tcPr>
            <w:tcW w:w="3060" w:type="dxa"/>
          </w:tcPr>
          <w:p w:rsidR="00497B13" w:rsidRPr="00664716" w:rsidRDefault="00497B13" w:rsidP="005C2CB8">
            <w:pPr>
              <w:ind w:left="0"/>
              <w:jc w:val="center"/>
              <w:rPr>
                <w:i/>
              </w:rPr>
            </w:pPr>
            <w:r w:rsidRPr="00664716">
              <w:rPr>
                <w:i/>
              </w:rPr>
              <w:t>12 months</w:t>
            </w:r>
          </w:p>
        </w:tc>
        <w:tc>
          <w:tcPr>
            <w:tcW w:w="3330" w:type="dxa"/>
          </w:tcPr>
          <w:p w:rsidR="00497B13" w:rsidRPr="00212A34" w:rsidRDefault="00497B13" w:rsidP="005C2CB8">
            <w:pPr>
              <w:ind w:left="0"/>
              <w:jc w:val="center"/>
              <w:rPr>
                <w:i/>
              </w:rPr>
            </w:pPr>
          </w:p>
        </w:tc>
      </w:tr>
      <w:tr w:rsidR="00497B13" w:rsidTr="005C2CB8">
        <w:trPr>
          <w:trHeight w:val="230"/>
        </w:trPr>
        <w:tc>
          <w:tcPr>
            <w:tcW w:w="4495" w:type="dxa"/>
          </w:tcPr>
          <w:p w:rsidR="00497B13" w:rsidRPr="00664716" w:rsidRDefault="00497B13" w:rsidP="005C2CB8">
            <w:pPr>
              <w:ind w:left="0"/>
              <w:rPr>
                <w:i/>
              </w:rPr>
            </w:pPr>
            <w:r w:rsidRPr="00664716">
              <w:rPr>
                <w:i/>
              </w:rPr>
              <w:t>Contact Lenses (identify if in lieu of eyeglasses)</w:t>
            </w:r>
          </w:p>
        </w:tc>
        <w:tc>
          <w:tcPr>
            <w:tcW w:w="3060" w:type="dxa"/>
          </w:tcPr>
          <w:p w:rsidR="00497B13" w:rsidRPr="00664716" w:rsidRDefault="00497B13" w:rsidP="005C2CB8">
            <w:pPr>
              <w:ind w:left="0"/>
              <w:jc w:val="center"/>
              <w:rPr>
                <w:i/>
              </w:rPr>
            </w:pPr>
            <w:r w:rsidRPr="00664716">
              <w:rPr>
                <w:i/>
              </w:rPr>
              <w:t>12 months</w:t>
            </w:r>
          </w:p>
        </w:tc>
        <w:tc>
          <w:tcPr>
            <w:tcW w:w="3330" w:type="dxa"/>
          </w:tcPr>
          <w:p w:rsidR="00497B13" w:rsidRPr="00212A34" w:rsidRDefault="00497B13" w:rsidP="005C2CB8">
            <w:pPr>
              <w:ind w:left="0"/>
              <w:jc w:val="center"/>
              <w:rPr>
                <w:i/>
              </w:rPr>
            </w:pPr>
          </w:p>
        </w:tc>
      </w:tr>
    </w:tbl>
    <w:p w:rsidR="009A31B3" w:rsidRDefault="009A31B3">
      <w:bookmarkStart w:id="2" w:name="_GoBack"/>
      <w:bookmarkEnd w:id="2"/>
    </w:p>
    <w:sectPr w:rsidR="009A3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5817"/>
    <w:multiLevelType w:val="multilevel"/>
    <w:tmpl w:val="F9B09F1C"/>
    <w:lvl w:ilvl="0">
      <w:start w:val="1"/>
      <w:numFmt w:val="upperLetter"/>
      <w:pStyle w:val="Heading1"/>
      <w:lvlText w:val="%1."/>
      <w:lvlJc w:val="left"/>
      <w:pPr>
        <w:ind w:left="360" w:hanging="360"/>
      </w:pPr>
      <w:rPr>
        <w:rFonts w:hint="default"/>
        <w:sz w:val="28"/>
      </w:rPr>
    </w:lvl>
    <w:lvl w:ilvl="1">
      <w:start w:val="1"/>
      <w:numFmt w:val="decimal"/>
      <w:pStyle w:val="Heading2"/>
      <w:lvlText w:val="%2."/>
      <w:lvlJc w:val="left"/>
      <w:pPr>
        <w:ind w:left="142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728"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13"/>
    <w:rsid w:val="00497B13"/>
    <w:rsid w:val="009A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6A345-B928-40AD-91A9-464CF093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B13"/>
    <w:pPr>
      <w:spacing w:after="0" w:line="240" w:lineRule="auto"/>
      <w:ind w:left="360"/>
    </w:pPr>
    <w:rPr>
      <w:rFonts w:ascii="Arial" w:eastAsia="Times New Roman" w:hAnsi="Arial" w:cs="Arial"/>
      <w:sz w:val="20"/>
      <w:szCs w:val="20"/>
    </w:rPr>
  </w:style>
  <w:style w:type="paragraph" w:styleId="Heading1">
    <w:name w:val="heading 1"/>
    <w:basedOn w:val="ListParagraph"/>
    <w:next w:val="Normal"/>
    <w:link w:val="Heading1Char"/>
    <w:uiPriority w:val="9"/>
    <w:qFormat/>
    <w:rsid w:val="00497B13"/>
    <w:pPr>
      <w:keepNext/>
      <w:numPr>
        <w:numId w:val="1"/>
      </w:numPr>
      <w:contextualSpacing w:val="0"/>
      <w:outlineLvl w:val="0"/>
    </w:pPr>
    <w:rPr>
      <w:b/>
      <w:bCs/>
      <w:kern w:val="32"/>
      <w:sz w:val="28"/>
      <w:szCs w:val="32"/>
    </w:rPr>
  </w:style>
  <w:style w:type="paragraph" w:styleId="Heading2">
    <w:name w:val="heading 2"/>
    <w:basedOn w:val="ListParagraph"/>
    <w:next w:val="Normal"/>
    <w:link w:val="Heading2Char"/>
    <w:uiPriority w:val="9"/>
    <w:unhideWhenUsed/>
    <w:qFormat/>
    <w:rsid w:val="00497B13"/>
    <w:pPr>
      <w:keepNext/>
      <w:numPr>
        <w:ilvl w:val="1"/>
        <w:numId w:val="1"/>
      </w:numPr>
      <w:pBdr>
        <w:top w:val="single" w:sz="4" w:space="4" w:color="auto"/>
        <w:left w:val="single" w:sz="4" w:space="4" w:color="auto"/>
        <w:bottom w:val="single" w:sz="4" w:space="1" w:color="auto"/>
        <w:right w:val="single" w:sz="4" w:space="4" w:color="auto"/>
      </w:pBdr>
      <w:shd w:val="clear" w:color="auto" w:fill="E6E6E6"/>
      <w:spacing w:before="240"/>
      <w:contextualSpacing w:val="0"/>
      <w:jc w:val="both"/>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B13"/>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9"/>
    <w:rsid w:val="00497B13"/>
    <w:rPr>
      <w:rFonts w:ascii="Arial" w:eastAsia="Times New Roman" w:hAnsi="Arial" w:cs="Arial"/>
      <w:b/>
      <w:shd w:val="clear" w:color="auto" w:fill="E6E6E6"/>
    </w:rPr>
  </w:style>
  <w:style w:type="table" w:styleId="TableGrid">
    <w:name w:val="Table Grid"/>
    <w:basedOn w:val="TableNormal"/>
    <w:uiPriority w:val="39"/>
    <w:rsid w:val="0049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Wolfhagen, Ellen Y. (HCA)</dc:creator>
  <cp:keywords/>
  <dc:description/>
  <cp:lastModifiedBy>Wolfhagen, Ellen Y. (HCA)</cp:lastModifiedBy>
  <cp:revision>1</cp:revision>
  <dcterms:created xsi:type="dcterms:W3CDTF">2018-06-29T20:19:00Z</dcterms:created>
  <dcterms:modified xsi:type="dcterms:W3CDTF">2018-06-29T20:19:00Z</dcterms:modified>
</cp:coreProperties>
</file>