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77" w:rsidRPr="00444B0E" w:rsidRDefault="00895277" w:rsidP="00444B0E">
      <w:pPr>
        <w:rPr>
          <w:color w:val="FF0000"/>
          <w:sz w:val="28"/>
          <w:szCs w:val="28"/>
        </w:rPr>
      </w:pPr>
      <w:bookmarkStart w:id="0" w:name="_GoBack"/>
      <w:bookmarkEnd w:id="0"/>
    </w:p>
    <w:p w:rsidR="008608BA" w:rsidRPr="008608BA" w:rsidRDefault="008608BA" w:rsidP="008608BA">
      <w:pPr>
        <w:pBdr>
          <w:top w:val="single" w:sz="36" w:space="1" w:color="0F243E" w:themeColor="text2" w:themeShade="80"/>
        </w:pBdr>
        <w:rPr>
          <w:szCs w:val="24"/>
        </w:rPr>
      </w:pPr>
    </w:p>
    <w:p w:rsidR="004231C6" w:rsidRDefault="002E3DA0" w:rsidP="004231C6">
      <w:pPr>
        <w:pBdr>
          <w:top w:val="single" w:sz="36" w:space="1" w:color="0F243E" w:themeColor="text2" w:themeShade="80"/>
        </w:pBdr>
        <w:spacing w:after="120"/>
        <w:rPr>
          <w:rFonts w:ascii="Arial" w:hAnsi="Arial" w:cs="Arial"/>
        </w:rPr>
      </w:pPr>
      <w:r>
        <w:rPr>
          <w:rFonts w:ascii="Arial" w:hAnsi="Arial" w:cs="Arial"/>
          <w:b/>
          <w:sz w:val="36"/>
          <w:szCs w:val="36"/>
        </w:rPr>
        <w:t xml:space="preserve">Actuarial Consultant Services </w:t>
      </w:r>
    </w:p>
    <w:p w:rsidR="00DF0907" w:rsidRPr="004231C6" w:rsidRDefault="007558CE" w:rsidP="004231C6">
      <w:pPr>
        <w:pBdr>
          <w:top w:val="single" w:sz="36" w:space="1" w:color="0F243E" w:themeColor="text2" w:themeShade="80"/>
        </w:pBdr>
        <w:spacing w:before="120" w:after="360"/>
        <w:rPr>
          <w:rFonts w:ascii="Arial" w:hAnsi="Arial" w:cs="Arial"/>
        </w:rPr>
      </w:pPr>
      <w:r>
        <w:rPr>
          <w:rFonts w:ascii="Arial" w:hAnsi="Arial" w:cs="Arial"/>
          <w:b/>
          <w:sz w:val="36"/>
          <w:szCs w:val="36"/>
        </w:rPr>
        <w:t>RF</w:t>
      </w:r>
      <w:r w:rsidR="002E3DA0">
        <w:rPr>
          <w:rFonts w:ascii="Arial" w:hAnsi="Arial" w:cs="Arial"/>
          <w:b/>
          <w:sz w:val="36"/>
          <w:szCs w:val="36"/>
        </w:rPr>
        <w:t>P</w:t>
      </w:r>
      <w:r w:rsidR="00DF0907" w:rsidRPr="00E61CB4">
        <w:rPr>
          <w:rFonts w:ascii="Arial" w:hAnsi="Arial" w:cs="Arial"/>
          <w:b/>
          <w:sz w:val="36"/>
          <w:szCs w:val="36"/>
        </w:rPr>
        <w:t xml:space="preserve"> No. </w:t>
      </w:r>
      <w:r w:rsidR="003C2E5F">
        <w:rPr>
          <w:rFonts w:ascii="Arial" w:hAnsi="Arial" w:cs="Arial"/>
          <w:b/>
          <w:sz w:val="36"/>
          <w:szCs w:val="36"/>
        </w:rPr>
        <w:t>202</w:t>
      </w:r>
      <w:r w:rsidR="002E3DA0">
        <w:rPr>
          <w:rFonts w:ascii="Arial" w:hAnsi="Arial" w:cs="Arial"/>
          <w:b/>
          <w:sz w:val="36"/>
          <w:szCs w:val="36"/>
        </w:rPr>
        <w:t>0</w:t>
      </w:r>
      <w:r w:rsidR="003C2E5F">
        <w:rPr>
          <w:rFonts w:ascii="Arial" w:hAnsi="Arial" w:cs="Arial"/>
          <w:b/>
          <w:sz w:val="36"/>
          <w:szCs w:val="36"/>
        </w:rPr>
        <w:t>HCA</w:t>
      </w:r>
      <w:r w:rsidR="002E3DA0">
        <w:rPr>
          <w:rFonts w:ascii="Arial" w:hAnsi="Arial" w:cs="Arial"/>
          <w:b/>
          <w:sz w:val="36"/>
          <w:szCs w:val="36"/>
        </w:rPr>
        <w:t>4</w:t>
      </w:r>
    </w:p>
    <w:p w:rsidR="00DF0907" w:rsidRPr="00B01B61" w:rsidRDefault="007558CE" w:rsidP="00DF0907">
      <w:pPr>
        <w:rPr>
          <w:rFonts w:ascii="Arial" w:hAnsi="Arial" w:cs="Arial"/>
          <w:b/>
          <w:szCs w:val="24"/>
        </w:rPr>
      </w:pPr>
      <w:r w:rsidRPr="00B01B61">
        <w:rPr>
          <w:rFonts w:ascii="Arial" w:hAnsi="Arial" w:cs="Arial"/>
          <w:b/>
          <w:szCs w:val="24"/>
        </w:rPr>
        <w:t xml:space="preserve">Amendment No. </w:t>
      </w:r>
      <w:r w:rsidR="004A6207">
        <w:rPr>
          <w:rFonts w:ascii="Arial" w:hAnsi="Arial" w:cs="Arial"/>
          <w:b/>
          <w:szCs w:val="24"/>
        </w:rPr>
        <w:t>1</w:t>
      </w:r>
    </w:p>
    <w:p w:rsidR="008608BA" w:rsidRPr="00E61CB4" w:rsidRDefault="008608BA">
      <w:pPr>
        <w:rPr>
          <w:rFonts w:ascii="Arial" w:hAnsi="Arial" w:cs="Arial"/>
        </w:rPr>
      </w:pPr>
    </w:p>
    <w:p w:rsidR="00457908" w:rsidRPr="00895277" w:rsidRDefault="00457908" w:rsidP="008608BA">
      <w:pPr>
        <w:pBdr>
          <w:top w:val="single" w:sz="18" w:space="1" w:color="0F243E" w:themeColor="text2" w:themeShade="80"/>
        </w:pBdr>
        <w:rPr>
          <w:rFonts w:ascii="Arial" w:hAnsi="Arial" w:cs="Arial"/>
        </w:rPr>
      </w:pPr>
    </w:p>
    <w:p w:rsidR="00594156" w:rsidRPr="00895277" w:rsidRDefault="00594156">
      <w:pPr>
        <w:rPr>
          <w:rFonts w:ascii="Arial" w:hAnsi="Arial" w:cs="Arial"/>
          <w:sz w:val="22"/>
          <w:szCs w:val="22"/>
        </w:rPr>
      </w:pPr>
      <w:r w:rsidRPr="00895277">
        <w:rPr>
          <w:rFonts w:ascii="Arial" w:hAnsi="Arial" w:cs="Arial"/>
          <w:b/>
          <w:sz w:val="22"/>
          <w:szCs w:val="22"/>
        </w:rPr>
        <w:t>Date Issued:</w:t>
      </w:r>
      <w:r w:rsidRPr="00895277">
        <w:rPr>
          <w:rFonts w:ascii="Arial" w:hAnsi="Arial" w:cs="Arial"/>
          <w:sz w:val="22"/>
          <w:szCs w:val="22"/>
        </w:rPr>
        <w:tab/>
      </w:r>
      <w:sdt>
        <w:sdtPr>
          <w:rPr>
            <w:rFonts w:ascii="Arial" w:hAnsi="Arial" w:cs="Arial"/>
            <w:sz w:val="22"/>
            <w:szCs w:val="22"/>
          </w:rPr>
          <w:id w:val="1003097624"/>
          <w:placeholder>
            <w:docPart w:val="F094774BB3FC49B7ACF88227385FEE6F"/>
          </w:placeholder>
          <w:date w:fullDate="2020-08-18T00:00:00Z">
            <w:dateFormat w:val="M/d/yyyy"/>
            <w:lid w:val="en-US"/>
            <w:storeMappedDataAs w:val="dateTime"/>
            <w:calendar w:val="gregorian"/>
          </w:date>
        </w:sdtPr>
        <w:sdtEndPr/>
        <w:sdtContent>
          <w:r w:rsidR="004A6207">
            <w:rPr>
              <w:rFonts w:ascii="Arial" w:hAnsi="Arial" w:cs="Arial"/>
              <w:sz w:val="22"/>
              <w:szCs w:val="22"/>
            </w:rPr>
            <w:t>8/18/2020</w:t>
          </w:r>
        </w:sdtContent>
      </w:sdt>
      <w:r w:rsidR="00E61CB4" w:rsidRPr="00895277">
        <w:rPr>
          <w:rFonts w:ascii="Arial" w:hAnsi="Arial" w:cs="Arial"/>
          <w:sz w:val="22"/>
          <w:szCs w:val="22"/>
        </w:rPr>
        <w:tab/>
      </w:r>
    </w:p>
    <w:p w:rsidR="00B0271D" w:rsidRDefault="00EB3270" w:rsidP="00B0271D">
      <w:pPr>
        <w:spacing w:before="120"/>
        <w:ind w:left="1440" w:hanging="1440"/>
        <w:rPr>
          <w:rFonts w:ascii="Arial" w:hAnsi="Arial" w:cs="Arial"/>
          <w:b/>
          <w:sz w:val="22"/>
          <w:szCs w:val="22"/>
        </w:rPr>
      </w:pPr>
      <w:r w:rsidRPr="00895277">
        <w:rPr>
          <w:rFonts w:ascii="Arial" w:hAnsi="Arial" w:cs="Arial"/>
          <w:b/>
          <w:sz w:val="22"/>
          <w:szCs w:val="22"/>
        </w:rPr>
        <w:t>To:</w:t>
      </w:r>
      <w:r w:rsidRPr="00895277">
        <w:rPr>
          <w:rFonts w:ascii="Arial" w:hAnsi="Arial" w:cs="Arial"/>
          <w:b/>
          <w:sz w:val="22"/>
          <w:szCs w:val="22"/>
        </w:rPr>
        <w:tab/>
      </w:r>
      <w:r w:rsidR="00B0271D" w:rsidRPr="00724F0E">
        <w:rPr>
          <w:rFonts w:ascii="Arial" w:hAnsi="Arial" w:cs="Arial"/>
          <w:sz w:val="22"/>
          <w:szCs w:val="22"/>
        </w:rPr>
        <w:t>RF</w:t>
      </w:r>
      <w:r w:rsidR="004A6207">
        <w:rPr>
          <w:rFonts w:ascii="Arial" w:hAnsi="Arial" w:cs="Arial"/>
          <w:sz w:val="22"/>
          <w:szCs w:val="22"/>
        </w:rPr>
        <w:t>P 2020HCA4 Bidders</w:t>
      </w:r>
      <w:r w:rsidRPr="00895277">
        <w:rPr>
          <w:rFonts w:ascii="Arial" w:hAnsi="Arial" w:cs="Arial"/>
          <w:b/>
          <w:sz w:val="22"/>
          <w:szCs w:val="22"/>
        </w:rPr>
        <w:tab/>
      </w:r>
      <w:r w:rsidR="00444B0E" w:rsidRPr="00895277">
        <w:rPr>
          <w:rFonts w:ascii="Arial" w:hAnsi="Arial" w:cs="Arial"/>
          <w:b/>
          <w:sz w:val="22"/>
          <w:szCs w:val="22"/>
        </w:rPr>
        <w:t xml:space="preserve"> </w:t>
      </w:r>
    </w:p>
    <w:p w:rsidR="00EB3270" w:rsidRPr="00895277" w:rsidRDefault="00EB3270" w:rsidP="00EB3270">
      <w:pPr>
        <w:spacing w:before="120"/>
        <w:rPr>
          <w:rFonts w:ascii="Arial" w:hAnsi="Arial" w:cs="Arial"/>
          <w:b/>
          <w:sz w:val="22"/>
          <w:szCs w:val="22"/>
        </w:rPr>
      </w:pPr>
      <w:r w:rsidRPr="00895277">
        <w:rPr>
          <w:rFonts w:ascii="Arial" w:hAnsi="Arial" w:cs="Arial"/>
          <w:b/>
          <w:sz w:val="22"/>
          <w:szCs w:val="22"/>
        </w:rPr>
        <w:t>From:</w:t>
      </w:r>
      <w:r w:rsidRPr="00895277">
        <w:rPr>
          <w:rFonts w:ascii="Arial" w:hAnsi="Arial" w:cs="Arial"/>
          <w:b/>
          <w:sz w:val="22"/>
          <w:szCs w:val="22"/>
        </w:rPr>
        <w:tab/>
      </w:r>
      <w:r w:rsidRPr="00895277">
        <w:rPr>
          <w:rFonts w:ascii="Arial" w:hAnsi="Arial" w:cs="Arial"/>
          <w:b/>
          <w:sz w:val="22"/>
          <w:szCs w:val="22"/>
        </w:rPr>
        <w:tab/>
      </w:r>
      <w:r w:rsidR="004A6207">
        <w:rPr>
          <w:rFonts w:ascii="Arial" w:hAnsi="Arial" w:cs="Arial"/>
          <w:sz w:val="22"/>
          <w:szCs w:val="22"/>
        </w:rPr>
        <w:t>Mayra Ledesma</w:t>
      </w:r>
      <w:r w:rsidRPr="00895277">
        <w:rPr>
          <w:rFonts w:ascii="Arial" w:hAnsi="Arial" w:cs="Arial"/>
          <w:sz w:val="22"/>
          <w:szCs w:val="22"/>
        </w:rPr>
        <w:t>, RF</w:t>
      </w:r>
      <w:r w:rsidR="004A6207">
        <w:rPr>
          <w:rFonts w:ascii="Arial" w:hAnsi="Arial" w:cs="Arial"/>
          <w:sz w:val="22"/>
          <w:szCs w:val="22"/>
        </w:rPr>
        <w:t>P</w:t>
      </w:r>
      <w:r w:rsidRPr="00895277">
        <w:rPr>
          <w:rFonts w:ascii="Arial" w:hAnsi="Arial" w:cs="Arial"/>
          <w:sz w:val="22"/>
          <w:szCs w:val="22"/>
        </w:rPr>
        <w:t xml:space="preserve"> Coordinator</w:t>
      </w:r>
      <w:r w:rsidRPr="00895277">
        <w:rPr>
          <w:rFonts w:ascii="Arial" w:hAnsi="Arial" w:cs="Arial"/>
          <w:b/>
          <w:sz w:val="22"/>
          <w:szCs w:val="22"/>
        </w:rPr>
        <w:tab/>
      </w:r>
      <w:r w:rsidRPr="00895277">
        <w:rPr>
          <w:rFonts w:ascii="Arial" w:hAnsi="Arial" w:cs="Arial"/>
          <w:b/>
          <w:sz w:val="22"/>
          <w:szCs w:val="22"/>
        </w:rPr>
        <w:tab/>
      </w:r>
    </w:p>
    <w:p w:rsidR="00594156" w:rsidRPr="00895277" w:rsidRDefault="00594156" w:rsidP="004A6207">
      <w:pPr>
        <w:spacing w:before="120"/>
        <w:ind w:left="1530" w:hanging="1530"/>
        <w:rPr>
          <w:rFonts w:ascii="Arial" w:hAnsi="Arial" w:cs="Arial"/>
          <w:sz w:val="22"/>
          <w:szCs w:val="22"/>
        </w:rPr>
      </w:pPr>
      <w:r w:rsidRPr="00895277">
        <w:rPr>
          <w:rFonts w:ascii="Arial" w:hAnsi="Arial" w:cs="Arial"/>
          <w:b/>
          <w:sz w:val="22"/>
          <w:szCs w:val="22"/>
        </w:rPr>
        <w:t>Purpose:</w:t>
      </w:r>
      <w:r w:rsidR="00551B95" w:rsidRPr="00895277">
        <w:rPr>
          <w:rFonts w:ascii="Arial" w:hAnsi="Arial" w:cs="Arial"/>
          <w:b/>
          <w:sz w:val="22"/>
          <w:szCs w:val="22"/>
        </w:rPr>
        <w:t xml:space="preserve">        </w:t>
      </w:r>
      <w:r w:rsidR="004A6207">
        <w:rPr>
          <w:rFonts w:ascii="Arial" w:hAnsi="Arial" w:cs="Arial"/>
          <w:sz w:val="22"/>
          <w:szCs w:val="22"/>
        </w:rPr>
        <w:t xml:space="preserve">This document contains the answers to questions submitted by bidders on August 7, 2020, per Section 2.2. Estimated Schedule of Procurement Activities.  </w:t>
      </w:r>
      <w:r w:rsidR="00551B95" w:rsidRPr="00895277">
        <w:rPr>
          <w:rFonts w:ascii="Arial" w:hAnsi="Arial" w:cs="Arial"/>
          <w:b/>
          <w:sz w:val="22"/>
          <w:szCs w:val="22"/>
        </w:rPr>
        <w:tab/>
      </w:r>
      <w:r w:rsidRPr="00895277">
        <w:rPr>
          <w:rFonts w:ascii="Arial" w:hAnsi="Arial" w:cs="Arial"/>
          <w:sz w:val="22"/>
          <w:szCs w:val="22"/>
        </w:rPr>
        <w:tab/>
      </w:r>
      <w:r w:rsidR="003C2E5F" w:rsidRPr="00895277">
        <w:rPr>
          <w:rFonts w:ascii="Arial" w:hAnsi="Arial" w:cs="Arial"/>
          <w:sz w:val="22"/>
          <w:szCs w:val="22"/>
        </w:rPr>
        <w:t xml:space="preserve"> </w:t>
      </w:r>
    </w:p>
    <w:p w:rsidR="003C5E01" w:rsidRPr="00895277" w:rsidRDefault="003C5E01">
      <w:pPr>
        <w:jc w:val="center"/>
        <w:rPr>
          <w:rFonts w:ascii="Arial" w:hAnsi="Arial" w:cs="Arial"/>
          <w:b/>
          <w:color w:val="000000"/>
          <w:sz w:val="22"/>
          <w:szCs w:val="22"/>
        </w:rPr>
      </w:pPr>
    </w:p>
    <w:p w:rsidR="00CE358D" w:rsidRPr="00895277" w:rsidRDefault="00895277" w:rsidP="00CE358D">
      <w:pPr>
        <w:pStyle w:val="BodyText"/>
        <w:rPr>
          <w:rFonts w:ascii="Arial" w:hAnsi="Arial" w:cs="Arial"/>
          <w:sz w:val="22"/>
          <w:szCs w:val="22"/>
        </w:rPr>
      </w:pPr>
      <w:r w:rsidRPr="00895277">
        <w:rPr>
          <w:rFonts w:ascii="Arial" w:hAnsi="Arial" w:cs="Arial"/>
          <w:color w:val="000000"/>
          <w:sz w:val="22"/>
          <w:szCs w:val="22"/>
        </w:rPr>
        <w:t xml:space="preserve">This amendment hereby modifies and is attached to </w:t>
      </w:r>
      <w:r w:rsidR="00B0271D" w:rsidRPr="006F7453">
        <w:rPr>
          <w:rFonts w:ascii="Arial" w:hAnsi="Arial" w:cs="Arial"/>
          <w:sz w:val="22"/>
          <w:szCs w:val="22"/>
        </w:rPr>
        <w:t>RF</w:t>
      </w:r>
      <w:r w:rsidR="004A6207">
        <w:rPr>
          <w:rFonts w:ascii="Arial" w:hAnsi="Arial" w:cs="Arial"/>
          <w:sz w:val="22"/>
          <w:szCs w:val="22"/>
        </w:rPr>
        <w:t>P</w:t>
      </w:r>
      <w:r w:rsidRPr="00895277">
        <w:rPr>
          <w:rFonts w:ascii="Arial" w:hAnsi="Arial" w:cs="Arial"/>
          <w:color w:val="000000"/>
          <w:sz w:val="22"/>
          <w:szCs w:val="22"/>
        </w:rPr>
        <w:t xml:space="preserve"> No</w:t>
      </w:r>
      <w:r w:rsidRPr="00B0271D">
        <w:rPr>
          <w:rFonts w:ascii="Arial" w:hAnsi="Arial" w:cs="Arial"/>
          <w:color w:val="000000"/>
          <w:sz w:val="22"/>
          <w:szCs w:val="22"/>
        </w:rPr>
        <w:t xml:space="preserve">. </w:t>
      </w:r>
      <w:r w:rsidR="00B0271D" w:rsidRPr="00724F0E">
        <w:rPr>
          <w:rFonts w:ascii="Arial" w:hAnsi="Arial" w:cs="Arial"/>
          <w:sz w:val="22"/>
          <w:szCs w:val="22"/>
        </w:rPr>
        <w:t>202</w:t>
      </w:r>
      <w:r w:rsidR="004A6207">
        <w:rPr>
          <w:rFonts w:ascii="Arial" w:hAnsi="Arial" w:cs="Arial"/>
          <w:sz w:val="22"/>
          <w:szCs w:val="22"/>
        </w:rPr>
        <w:t>0</w:t>
      </w:r>
      <w:r w:rsidR="00B0271D" w:rsidRPr="00724F0E">
        <w:rPr>
          <w:rFonts w:ascii="Arial" w:hAnsi="Arial" w:cs="Arial"/>
          <w:sz w:val="22"/>
          <w:szCs w:val="22"/>
        </w:rPr>
        <w:t>HCA</w:t>
      </w:r>
      <w:r w:rsidR="004A6207">
        <w:rPr>
          <w:rFonts w:ascii="Arial" w:hAnsi="Arial" w:cs="Arial"/>
          <w:sz w:val="22"/>
          <w:szCs w:val="22"/>
        </w:rPr>
        <w:t>4</w:t>
      </w:r>
      <w:r w:rsidRPr="00B0271D">
        <w:rPr>
          <w:rFonts w:ascii="Arial" w:hAnsi="Arial" w:cs="Arial"/>
          <w:color w:val="000000"/>
          <w:sz w:val="22"/>
          <w:szCs w:val="22"/>
        </w:rPr>
        <w:t>.</w:t>
      </w:r>
      <w:r w:rsidRPr="00895277">
        <w:rPr>
          <w:rFonts w:ascii="Arial" w:hAnsi="Arial" w:cs="Arial"/>
          <w:color w:val="000000"/>
          <w:sz w:val="22"/>
          <w:szCs w:val="22"/>
        </w:rPr>
        <w:t xml:space="preserve"> </w:t>
      </w:r>
      <w:r w:rsidR="005412A0" w:rsidRPr="00895277">
        <w:rPr>
          <w:rFonts w:ascii="Arial" w:hAnsi="Arial" w:cs="Arial"/>
          <w:color w:val="000000"/>
          <w:sz w:val="22"/>
          <w:szCs w:val="22"/>
        </w:rPr>
        <w:t>All</w:t>
      </w:r>
      <w:r w:rsidR="00551B95" w:rsidRPr="00895277">
        <w:rPr>
          <w:rFonts w:ascii="Arial" w:hAnsi="Arial" w:cs="Arial"/>
          <w:color w:val="000000"/>
          <w:sz w:val="22"/>
          <w:szCs w:val="22"/>
        </w:rPr>
        <w:t xml:space="preserve"> </w:t>
      </w:r>
      <w:r w:rsidR="005412A0" w:rsidRPr="00895277">
        <w:rPr>
          <w:rFonts w:ascii="Arial" w:hAnsi="Arial" w:cs="Arial"/>
          <w:color w:val="000000"/>
          <w:sz w:val="22"/>
          <w:szCs w:val="22"/>
        </w:rPr>
        <w:t xml:space="preserve">other </w:t>
      </w:r>
      <w:r w:rsidR="00551B95" w:rsidRPr="00895277">
        <w:rPr>
          <w:rFonts w:ascii="Arial" w:hAnsi="Arial" w:cs="Arial"/>
          <w:color w:val="000000"/>
          <w:sz w:val="22"/>
          <w:szCs w:val="22"/>
        </w:rPr>
        <w:t>t</w:t>
      </w:r>
      <w:r w:rsidR="005412A0" w:rsidRPr="00895277">
        <w:rPr>
          <w:rFonts w:ascii="Arial" w:hAnsi="Arial" w:cs="Arial"/>
          <w:color w:val="000000"/>
          <w:sz w:val="22"/>
          <w:szCs w:val="22"/>
        </w:rPr>
        <w:t xml:space="preserve">erms, </w:t>
      </w:r>
      <w:r w:rsidR="00551B95" w:rsidRPr="00895277">
        <w:rPr>
          <w:rFonts w:ascii="Arial" w:hAnsi="Arial" w:cs="Arial"/>
          <w:color w:val="000000"/>
          <w:sz w:val="22"/>
          <w:szCs w:val="22"/>
        </w:rPr>
        <w:t>c</w:t>
      </w:r>
      <w:r w:rsidR="005412A0" w:rsidRPr="00895277">
        <w:rPr>
          <w:rFonts w:ascii="Arial" w:hAnsi="Arial" w:cs="Arial"/>
          <w:color w:val="000000"/>
          <w:sz w:val="22"/>
          <w:szCs w:val="22"/>
        </w:rPr>
        <w:t xml:space="preserve">onditions, and </w:t>
      </w:r>
      <w:r w:rsidR="00551B95" w:rsidRPr="00895277">
        <w:rPr>
          <w:rFonts w:ascii="Arial" w:hAnsi="Arial" w:cs="Arial"/>
          <w:color w:val="000000"/>
          <w:sz w:val="22"/>
          <w:szCs w:val="22"/>
        </w:rPr>
        <w:t>s</w:t>
      </w:r>
      <w:r w:rsidR="005412A0" w:rsidRPr="00895277">
        <w:rPr>
          <w:rFonts w:ascii="Arial" w:hAnsi="Arial" w:cs="Arial"/>
          <w:color w:val="000000"/>
          <w:sz w:val="22"/>
          <w:szCs w:val="22"/>
        </w:rPr>
        <w:t>pecifications remain unchanged.</w:t>
      </w:r>
      <w:r w:rsidR="00E61CB4" w:rsidRPr="00895277">
        <w:rPr>
          <w:rFonts w:ascii="Arial" w:hAnsi="Arial" w:cs="Arial"/>
          <w:sz w:val="22"/>
          <w:szCs w:val="22"/>
        </w:rPr>
        <w:t xml:space="preserve"> </w:t>
      </w:r>
    </w:p>
    <w:p w:rsidR="00817326" w:rsidRPr="00FF1DA9" w:rsidRDefault="00817326" w:rsidP="006E5CF9">
      <w:pPr>
        <w:rPr>
          <w:rFonts w:ascii="Arial" w:hAnsi="Arial" w:cs="Arial"/>
          <w:b/>
          <w:smallCaps/>
          <w:sz w:val="20"/>
          <w:u w:val="single"/>
        </w:rPr>
      </w:pPr>
    </w:p>
    <w:p w:rsidR="00594156" w:rsidRPr="00FF1DA9" w:rsidRDefault="00594156" w:rsidP="008608BA">
      <w:pPr>
        <w:pBdr>
          <w:top w:val="single" w:sz="36" w:space="1" w:color="0F243E" w:themeColor="text2" w:themeShade="80"/>
        </w:pBdr>
        <w:rPr>
          <w:rFonts w:ascii="Arial" w:hAnsi="Arial" w:cs="Arial"/>
          <w:b/>
          <w:smallCaps/>
          <w:sz w:val="20"/>
          <w:u w:val="single"/>
        </w:rPr>
      </w:pPr>
    </w:p>
    <w:p w:rsidR="00B0271D" w:rsidRDefault="00B0271D" w:rsidP="00B0271D">
      <w:pPr>
        <w:pStyle w:val="BodyText"/>
        <w:rPr>
          <w:rFonts w:ascii="Arial" w:hAnsi="Arial" w:cs="Arial"/>
          <w:sz w:val="22"/>
          <w:szCs w:val="22"/>
        </w:rPr>
      </w:pPr>
      <w:r w:rsidRPr="00895277">
        <w:rPr>
          <w:rFonts w:ascii="Arial" w:hAnsi="Arial" w:cs="Arial"/>
          <w:sz w:val="22"/>
          <w:szCs w:val="22"/>
        </w:rPr>
        <w:t>The above referenced solicitation is amended as follows:</w:t>
      </w:r>
    </w:p>
    <w:p w:rsidR="00B0271D" w:rsidRPr="00895277" w:rsidRDefault="00B0271D" w:rsidP="00B0271D">
      <w:pPr>
        <w:pStyle w:val="BodyText"/>
        <w:rPr>
          <w:rFonts w:ascii="Arial" w:hAnsi="Arial" w:cs="Arial"/>
          <w:sz w:val="22"/>
          <w:szCs w:val="22"/>
        </w:rPr>
      </w:pPr>
    </w:p>
    <w:tbl>
      <w:tblP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820"/>
        <w:gridCol w:w="4460"/>
        <w:gridCol w:w="5175"/>
      </w:tblGrid>
      <w:tr w:rsidR="009F4395" w:rsidRPr="0014514A" w:rsidTr="00414D95">
        <w:trPr>
          <w:trHeight w:val="290"/>
        </w:trPr>
        <w:tc>
          <w:tcPr>
            <w:tcW w:w="12420" w:type="dxa"/>
            <w:gridSpan w:val="4"/>
            <w:shd w:val="clear" w:color="000000" w:fill="D9D9D9"/>
            <w:noWrap/>
            <w:hideMark/>
          </w:tcPr>
          <w:p w:rsidR="009F4395" w:rsidRPr="0014514A" w:rsidRDefault="009F4395" w:rsidP="00414D95">
            <w:pPr>
              <w:jc w:val="center"/>
              <w:rPr>
                <w:rFonts w:ascii="Calibri" w:hAnsi="Calibri" w:cs="Calibri"/>
                <w:b/>
                <w:bCs/>
                <w:sz w:val="22"/>
                <w:szCs w:val="22"/>
              </w:rPr>
            </w:pPr>
            <w:r w:rsidRPr="0014514A">
              <w:rPr>
                <w:rFonts w:ascii="Calibri" w:hAnsi="Calibri" w:cs="Calibri"/>
                <w:b/>
                <w:bCs/>
                <w:sz w:val="22"/>
                <w:szCs w:val="22"/>
              </w:rPr>
              <w:t>RFP 2020HCA4 - Actuarial Consultant Services</w:t>
            </w:r>
          </w:p>
        </w:tc>
      </w:tr>
      <w:tr w:rsidR="009F4395" w:rsidRPr="0014514A" w:rsidTr="00414D95">
        <w:trPr>
          <w:trHeight w:val="290"/>
        </w:trPr>
        <w:tc>
          <w:tcPr>
            <w:tcW w:w="960" w:type="dxa"/>
            <w:shd w:val="clear" w:color="000000" w:fill="D9D9D9"/>
            <w:vAlign w:val="center"/>
            <w:hideMark/>
          </w:tcPr>
          <w:p w:rsidR="009F4395" w:rsidRPr="0014514A" w:rsidRDefault="009F4395" w:rsidP="00414D95">
            <w:pPr>
              <w:jc w:val="center"/>
              <w:rPr>
                <w:rFonts w:ascii="Calibri" w:hAnsi="Calibri" w:cs="Calibri"/>
                <w:b/>
                <w:bCs/>
                <w:sz w:val="22"/>
                <w:szCs w:val="22"/>
              </w:rPr>
            </w:pPr>
            <w:r w:rsidRPr="0014514A">
              <w:rPr>
                <w:rFonts w:ascii="Calibri" w:hAnsi="Calibri" w:cs="Calibri"/>
                <w:b/>
                <w:bCs/>
                <w:sz w:val="22"/>
                <w:szCs w:val="22"/>
              </w:rPr>
              <w:t>Number</w:t>
            </w:r>
          </w:p>
        </w:tc>
        <w:tc>
          <w:tcPr>
            <w:tcW w:w="1820" w:type="dxa"/>
            <w:shd w:val="clear" w:color="000000" w:fill="D9D9D9"/>
            <w:vAlign w:val="center"/>
            <w:hideMark/>
          </w:tcPr>
          <w:p w:rsidR="009F4395" w:rsidRPr="0014514A" w:rsidRDefault="009F4395" w:rsidP="00414D95">
            <w:pPr>
              <w:jc w:val="center"/>
              <w:rPr>
                <w:rFonts w:ascii="Calibri" w:hAnsi="Calibri" w:cs="Calibri"/>
                <w:b/>
                <w:bCs/>
                <w:sz w:val="22"/>
                <w:szCs w:val="22"/>
              </w:rPr>
            </w:pPr>
            <w:r w:rsidRPr="0014514A">
              <w:rPr>
                <w:rFonts w:ascii="Calibri" w:hAnsi="Calibri" w:cs="Calibri"/>
                <w:b/>
                <w:bCs/>
                <w:sz w:val="22"/>
                <w:szCs w:val="22"/>
              </w:rPr>
              <w:t>RFP Section</w:t>
            </w:r>
          </w:p>
        </w:tc>
        <w:tc>
          <w:tcPr>
            <w:tcW w:w="4460" w:type="dxa"/>
            <w:shd w:val="clear" w:color="000000" w:fill="D9D9D9"/>
            <w:hideMark/>
          </w:tcPr>
          <w:p w:rsidR="009F4395" w:rsidRPr="0014514A" w:rsidRDefault="009F4395" w:rsidP="00414D95">
            <w:pPr>
              <w:jc w:val="center"/>
              <w:rPr>
                <w:rFonts w:ascii="Calibri" w:hAnsi="Calibri" w:cs="Calibri"/>
                <w:b/>
                <w:bCs/>
                <w:sz w:val="22"/>
                <w:szCs w:val="22"/>
              </w:rPr>
            </w:pPr>
            <w:r w:rsidRPr="0014514A">
              <w:rPr>
                <w:rFonts w:ascii="Calibri" w:hAnsi="Calibri" w:cs="Calibri"/>
                <w:b/>
                <w:bCs/>
                <w:sz w:val="22"/>
                <w:szCs w:val="22"/>
              </w:rPr>
              <w:t>Question</w:t>
            </w:r>
          </w:p>
        </w:tc>
        <w:tc>
          <w:tcPr>
            <w:tcW w:w="5180" w:type="dxa"/>
            <w:shd w:val="clear" w:color="000000" w:fill="D9D9D9"/>
            <w:hideMark/>
          </w:tcPr>
          <w:p w:rsidR="009F4395" w:rsidRPr="0014514A" w:rsidRDefault="009F4395" w:rsidP="00414D95">
            <w:pPr>
              <w:jc w:val="center"/>
              <w:rPr>
                <w:rFonts w:ascii="Calibri" w:hAnsi="Calibri" w:cs="Calibri"/>
                <w:b/>
                <w:bCs/>
                <w:sz w:val="22"/>
                <w:szCs w:val="22"/>
              </w:rPr>
            </w:pPr>
            <w:r w:rsidRPr="0014514A">
              <w:rPr>
                <w:rFonts w:ascii="Calibri" w:hAnsi="Calibri" w:cs="Calibri"/>
                <w:b/>
                <w:bCs/>
                <w:sz w:val="22"/>
                <w:szCs w:val="22"/>
              </w:rPr>
              <w:t>Answer</w:t>
            </w:r>
          </w:p>
        </w:tc>
      </w:tr>
      <w:tr w:rsidR="009F4395" w:rsidRPr="0014514A" w:rsidTr="00414D95">
        <w:trPr>
          <w:trHeight w:val="113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Exhibit E</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Will the State consider negotiating mutually acceptable limitation of liability language with the successful offeror?</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No.</w:t>
            </w:r>
          </w:p>
        </w:tc>
      </w:tr>
      <w:tr w:rsidR="009F4395" w:rsidRPr="0014514A" w:rsidTr="00414D95">
        <w:trPr>
          <w:trHeight w:val="261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lastRenderedPageBreak/>
              <w:t>2</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1.3</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Is it possible to propose on a portion of the scope of services? We provide actuarial, compliance, strategic and general consulting services to more than 20 state-level plans and the scope of services for SEPP and PEBB are comparable to those other engagements. Would it be possible to propose on the services other than those listed for Apple Health (listed on pages 7-8 of the RFP)?</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This RFP is open to all Contractors who meet the minimum requirements. Contractors are welcome to submit their proposals at their discretion. HCA will evaluate each proposal based on the stated proposal contents in section 3 and the cost proposal in 3.6 of this RFP. </w:t>
            </w:r>
          </w:p>
        </w:tc>
      </w:tr>
      <w:tr w:rsidR="009F4395" w:rsidRPr="0014514A" w:rsidTr="00414D95">
        <w:trPr>
          <w:trHeight w:val="174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3</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1.4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Regarding the Minimum Qualification 1.4.4 to have a minimum of three (3) years’ experience providing CMS certified actuarial rates to state Medicaid managed care programs, is it sufficient for individual actuaries at the firm to have this experience? </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Yes.</w:t>
            </w:r>
          </w:p>
        </w:tc>
      </w:tr>
      <w:tr w:rsidR="009F4395" w:rsidRPr="0014514A" w:rsidTr="00414D95">
        <w:trPr>
          <w:trHeight w:val="230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4</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1.4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My firm has experience providing actuarial services for self-insured plans and meets all the minimum requirements for this RFP except for “1.4.4.  Have a minimum of three (3) years’ experience providing CMS certified actuarial rates to state Medicaid managed care programs.”  Will the HCA consider bidders that meet all minimum requirements except 1.4.4.?</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Per the RFP 2020HCA4's coverpage, Bidder Eligibility: This Procurement is open to those Bidders that satisfy the minimum qualifications stated herein and that are available for work in Washington State. </w:t>
            </w:r>
            <w:r w:rsidRPr="0014514A">
              <w:rPr>
                <w:rFonts w:ascii="Calibri" w:hAnsi="Calibri" w:cs="Calibri"/>
                <w:color w:val="000000"/>
                <w:sz w:val="22"/>
                <w:szCs w:val="22"/>
              </w:rPr>
              <w:br/>
            </w:r>
            <w:r w:rsidRPr="0014514A">
              <w:rPr>
                <w:rFonts w:ascii="Calibri" w:hAnsi="Calibri" w:cs="Calibri"/>
                <w:color w:val="000000"/>
                <w:sz w:val="22"/>
                <w:szCs w:val="22"/>
              </w:rPr>
              <w:br/>
              <w:t>To clarify - Bidders must meet ALL minimum requirements.</w:t>
            </w:r>
          </w:p>
        </w:tc>
      </w:tr>
      <w:tr w:rsidR="009F4395" w:rsidRPr="0014514A" w:rsidTr="00414D95">
        <w:trPr>
          <w:trHeight w:val="96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5</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2.6</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Was this bid posted to the nationwide free bid notification website at www.mygovwatch.com/free?</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No.</w:t>
            </w:r>
          </w:p>
        </w:tc>
      </w:tr>
      <w:tr w:rsidR="009F4395" w:rsidRPr="0014514A" w:rsidTr="00414D95">
        <w:trPr>
          <w:trHeight w:val="58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6</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2.6</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Other than your own website, where was this bid posted?</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RFP 2020HCA4 was posted on www.hca.wa.gov and pr-webs-vendor.des.wa.gov.</w:t>
            </w:r>
          </w:p>
        </w:tc>
      </w:tr>
      <w:tr w:rsidR="009F4395" w:rsidRPr="0014514A" w:rsidTr="00414D95">
        <w:trPr>
          <w:trHeight w:val="261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7</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RFP Section 3.4.7 requests "Medicaid consulting contracts where the Bidder has provided services other than managed care capitation rates." If a Contract has a contract with a State that includes capitation rate development but also other projects, will such reference be acceptable if the Contractor specifies only the projects that are not capitation rate development?</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Yes. See answer to question 12.</w:t>
            </w:r>
          </w:p>
        </w:tc>
      </w:tr>
      <w:tr w:rsidR="009F4395" w:rsidRPr="0014514A" w:rsidTr="00414D95">
        <w:trPr>
          <w:trHeight w:val="232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8</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RFP Sesction 3.4.1 appears to indicate that different Lead Actuaries may be proposed, for example SEBB/PEBB and Apple Health. Given that, and considering that RFP Section 3.4.3 calls for the Lead's expereince, pleae confirm it is acceptable to cite expereince for different Lead Actuaries in 3.4.3.1, 3.4.3.2. 3.4.3.3 and 3.4.3.4.</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Yes. However, the response should be clear regarding which set of experience goes with which lead actuary.</w:t>
            </w:r>
          </w:p>
        </w:tc>
      </w:tr>
      <w:tr w:rsidR="009F4395" w:rsidRPr="0014514A" w:rsidTr="00414D95">
        <w:trPr>
          <w:trHeight w:val="87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9</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Is it acceptable for the bidder to propose/identify a team or or multiple Lead Actuaries?</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Yes.</w:t>
            </w:r>
          </w:p>
        </w:tc>
      </w:tr>
      <w:tr w:rsidR="009F4395" w:rsidRPr="0014514A" w:rsidTr="00414D95">
        <w:trPr>
          <w:trHeight w:val="145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10</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If a team of or multiple Lead Actuaries cannot be proposed, will the submission of additional Medicaid clients satisfy this requirement?</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The bidder may submit numerous teams and numerous lead actuaries. Additionally, the bidder may submit a single lead over multiple teams. However, each Lead must have the required professional experience stated in Section 3.4 of this RFP.</w:t>
            </w:r>
          </w:p>
        </w:tc>
      </w:tr>
      <w:tr w:rsidR="009F4395" w:rsidRPr="0014514A" w:rsidTr="00414D95">
        <w:trPr>
          <w:trHeight w:val="162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11</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Given that, and considering that RFP Section 3.4.3 calls for the Lead’s experience, please confirm it is acceptable to cite experience for different individual Lead Actuaries in 3.4.3.1, 3.4.3.2, 3.4.3.3 and 3.4.3.4</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Yes. Different lead actuaries may be proposed. But each proposed lead must have the required professional experience in the mentioned subsections.</w:t>
            </w:r>
          </w:p>
        </w:tc>
      </w:tr>
      <w:tr w:rsidR="009F4395" w:rsidRPr="0014514A" w:rsidTr="00414D95">
        <w:trPr>
          <w:trHeight w:val="181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12</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3.4.7</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If a Contractor has a contract with a State that includes capitation rate development but also other projects, will such reference be acceptable if the Contractor specifies only the projects that are not capitation rate development?</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Yes. Bidder can reference only parts of a multi-part engagement.  The purpose of requirements in sections 3.4.6 and 3.4.7 is to gain insight into Bidder's work both for capitated rate development and other actuarial work/services.</w:t>
            </w:r>
          </w:p>
        </w:tc>
      </w:tr>
      <w:tr w:rsidR="009F4395" w:rsidRPr="0014514A" w:rsidTr="00414D95">
        <w:trPr>
          <w:trHeight w:val="87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13</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3.6</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Can the hourly rate proposed vary by PEBB/SEBB and Apple Health?</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No. Bidders are to provide only one hourly rate for each of the four Key Professional Staff Categories described in Section 3.6 of this RFP.</w:t>
            </w:r>
          </w:p>
        </w:tc>
      </w:tr>
      <w:tr w:rsidR="009F4395" w:rsidRPr="0014514A" w:rsidTr="00414D95">
        <w:trPr>
          <w:trHeight w:val="87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14</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4</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Does the submission of exceptions have any impact on the scoring of the vendor's proposal?</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No. Bidders will only be scored on items as described in sections 3 &amp; 4 of this RFP.</w:t>
            </w:r>
          </w:p>
        </w:tc>
      </w:tr>
      <w:tr w:rsidR="009F4395" w:rsidRPr="0014514A" w:rsidTr="00414D95">
        <w:trPr>
          <w:trHeight w:val="232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15</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4.5</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Would HCA consider conducting the interviews remotely/by video?</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Should oral presentations become necessary per Section 4.5 of this RFP, HCA will conduct interviews remotely due to COVID-19. Details will be provided by the RFP Coordinator to each bidder who is selected for an oral interview, after the written proposals have undergone the evaluation per Section 4.1 of this RFP. The HCA evaluation panel will decide and select each bidder that will require an oral interview. </w:t>
            </w:r>
          </w:p>
        </w:tc>
      </w:tr>
      <w:tr w:rsidR="009F4395" w:rsidRPr="0014514A" w:rsidTr="00414D95">
        <w:trPr>
          <w:trHeight w:val="203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16</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4.5</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Can preparation and participation in meetings be virtual? Are there any in-person requirements?</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Due to the current circumstances, HCA is teleworking and meeting remotely until we get further directions from the Governor and HCA director. HCA staff is not scheduled to return back to the office until January/2021, and at this time there is no in-person requirement. All of our Solicitations are being done remotely via Skype for Business. </w:t>
            </w:r>
          </w:p>
        </w:tc>
      </w:tr>
      <w:tr w:rsidR="009F4395" w:rsidRPr="0014514A" w:rsidTr="00414D95">
        <w:trPr>
          <w:trHeight w:val="58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17</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4.5</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Would HCA consider conducting the interviews remotely/by video?</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See responses to questions 15 &amp; 16.</w:t>
            </w:r>
          </w:p>
        </w:tc>
      </w:tr>
      <w:tr w:rsidR="009F4395" w:rsidRPr="0014514A" w:rsidTr="00414D95">
        <w:trPr>
          <w:trHeight w:val="145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18</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 4.7</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What additional details are you willing to provide, if any, beyond what is stated in bid documents concerning how you will identify the winning bid?</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Per Section 4.7 of this RFP, HCA will notify the ASB of their selection in writing upon completion of the evaluation process. Bidders whose proposals were not selected for further negotiation or award will be notified separately.</w:t>
            </w:r>
          </w:p>
        </w:tc>
      </w:tr>
      <w:tr w:rsidR="009F4395" w:rsidRPr="0014514A" w:rsidTr="00414D95">
        <w:trPr>
          <w:trHeight w:val="203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19</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Sections 2.2 &amp; 2.6</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Do you anticipate extending the bid due date?</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HCA does not anticipate any changes to the procurement activities schedule at this time. However, if any schedule conflicts should arise, Section 2.2 of this RFP gives HCA the right to amend the RFP procurement activities schedule. All amendments to the RFP will be posted on WEBS located at https://pr-webs-customer.des.wa.gov. </w:t>
            </w:r>
          </w:p>
        </w:tc>
      </w:tr>
      <w:tr w:rsidR="009F4395" w:rsidRPr="0014514A" w:rsidTr="00414D95">
        <w:trPr>
          <w:trHeight w:val="1450"/>
        </w:trPr>
        <w:tc>
          <w:tcPr>
            <w:tcW w:w="96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20</w:t>
            </w:r>
          </w:p>
        </w:tc>
        <w:tc>
          <w:tcPr>
            <w:tcW w:w="1820" w:type="dxa"/>
            <w:shd w:val="clear" w:color="auto" w:fill="auto"/>
            <w:noWrap/>
            <w:vAlign w:val="center"/>
            <w:hideMark/>
          </w:tcPr>
          <w:p w:rsidR="009F4395" w:rsidRPr="0014514A" w:rsidRDefault="009F4395" w:rsidP="00414D95">
            <w:pPr>
              <w:jc w:val="center"/>
              <w:rPr>
                <w:rFonts w:ascii="Calibri" w:hAnsi="Calibri" w:cs="Calibri"/>
                <w:color w:val="000000"/>
                <w:sz w:val="22"/>
                <w:szCs w:val="22"/>
              </w:rPr>
            </w:pPr>
            <w:r w:rsidRPr="0014514A">
              <w:rPr>
                <w:rFonts w:ascii="Calibri" w:hAnsi="Calibri" w:cs="Calibri"/>
                <w:color w:val="000000"/>
                <w:sz w:val="22"/>
                <w:szCs w:val="22"/>
              </w:rPr>
              <w:t>Sections 2.2 &amp; 2.6</w:t>
            </w:r>
          </w:p>
        </w:tc>
        <w:tc>
          <w:tcPr>
            <w:tcW w:w="4460" w:type="dxa"/>
            <w:shd w:val="clear" w:color="auto" w:fill="auto"/>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Should the Q/A for this RFP be delayed for any reason, would HCA consider extending the deadline to allow for at least five business days between receipt of answers to questions and the proposal submission date?</w:t>
            </w:r>
          </w:p>
        </w:tc>
        <w:tc>
          <w:tcPr>
            <w:tcW w:w="5180" w:type="dxa"/>
            <w:shd w:val="clear" w:color="auto" w:fill="auto"/>
            <w:vAlign w:val="bottom"/>
            <w:hideMark/>
          </w:tcPr>
          <w:p w:rsidR="009F4395" w:rsidRPr="0014514A" w:rsidRDefault="009F4395" w:rsidP="00414D95">
            <w:pPr>
              <w:rPr>
                <w:rFonts w:ascii="Calibri" w:hAnsi="Calibri" w:cs="Calibri"/>
                <w:color w:val="000000"/>
                <w:sz w:val="22"/>
                <w:szCs w:val="22"/>
              </w:rPr>
            </w:pPr>
            <w:r w:rsidRPr="0014514A">
              <w:rPr>
                <w:rFonts w:ascii="Calibri" w:hAnsi="Calibri" w:cs="Calibri"/>
                <w:color w:val="000000"/>
                <w:sz w:val="22"/>
                <w:szCs w:val="22"/>
              </w:rPr>
              <w:t xml:space="preserve">See response to question 19. </w:t>
            </w:r>
          </w:p>
        </w:tc>
      </w:tr>
    </w:tbl>
    <w:p w:rsidR="00444B0E" w:rsidRPr="002F75E7" w:rsidRDefault="00444B0E" w:rsidP="00724F0E">
      <w:pPr>
        <w:rPr>
          <w:rFonts w:ascii="Arial" w:hAnsi="Arial" w:cs="Arial"/>
          <w:color w:val="FF0000"/>
          <w:sz w:val="20"/>
        </w:rPr>
      </w:pPr>
    </w:p>
    <w:sectPr w:rsidR="00444B0E" w:rsidRPr="002F75E7" w:rsidSect="002F75E7">
      <w:footerReference w:type="even" r:id="rId8"/>
      <w:footerReference w:type="default" r:id="rId9"/>
      <w:headerReference w:type="first" r:id="rId10"/>
      <w:footerReference w:type="first" r:id="rId11"/>
      <w:pgSz w:w="15840" w:h="12240" w:orient="landscape" w:code="1"/>
      <w:pgMar w:top="1152" w:right="720" w:bottom="1152"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62" w:rsidRDefault="00F07762">
      <w:r>
        <w:separator/>
      </w:r>
    </w:p>
  </w:endnote>
  <w:endnote w:type="continuationSeparator" w:id="0">
    <w:p w:rsidR="00F07762" w:rsidRDefault="00F0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62" w:rsidRDefault="00654A62" w:rsidP="0085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4A62" w:rsidRDefault="0065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62" w:rsidRDefault="00654A62" w:rsidP="0085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760">
      <w:rPr>
        <w:rStyle w:val="PageNumber"/>
        <w:noProof/>
      </w:rPr>
      <w:t>5</w:t>
    </w:r>
    <w:r>
      <w:rPr>
        <w:rStyle w:val="PageNumber"/>
      </w:rPr>
      <w:fldChar w:fldCharType="end"/>
    </w:r>
  </w:p>
  <w:p w:rsidR="00654A62" w:rsidRDefault="00654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62" w:rsidRPr="002A7E03" w:rsidRDefault="002A7E03" w:rsidP="002A7E03">
    <w:pPr>
      <w:pStyle w:val="Footer"/>
      <w:jc w:val="right"/>
      <w:rPr>
        <w:rFonts w:ascii="Arial" w:hAnsi="Arial" w:cs="Arial"/>
        <w:sz w:val="18"/>
        <w:szCs w:val="18"/>
      </w:rPr>
    </w:pPr>
    <w:r w:rsidRPr="00B01B61">
      <w:rPr>
        <w:rFonts w:ascii="Arial" w:hAnsi="Arial" w:cs="Arial"/>
        <w:sz w:val="18"/>
        <w:szCs w:val="18"/>
      </w:rPr>
      <w:t xml:space="preserve">Solicitation </w:t>
    </w:r>
    <w:r w:rsidR="00B01B61" w:rsidRPr="00B01B61">
      <w:rPr>
        <w:rFonts w:ascii="Arial" w:hAnsi="Arial" w:cs="Arial"/>
        <w:sz w:val="18"/>
        <w:szCs w:val="18"/>
      </w:rPr>
      <w:t xml:space="preserve">Amendment </w:t>
    </w:r>
    <w:r w:rsidRPr="002A7E03">
      <w:rPr>
        <w:rFonts w:ascii="Arial" w:hAnsi="Arial" w:cs="Arial"/>
        <w:sz w:val="18"/>
        <w:szCs w:val="18"/>
      </w:rPr>
      <w:ptab w:relativeTo="margin" w:alignment="center" w:leader="none"/>
    </w:r>
    <w:r w:rsidRPr="002A7E03">
      <w:rPr>
        <w:rFonts w:ascii="Arial" w:hAnsi="Arial" w:cs="Arial"/>
        <w:sz w:val="18"/>
        <w:szCs w:val="18"/>
      </w:rPr>
      <w:ptab w:relativeTo="margin" w:alignment="right" w:leader="none"/>
    </w:r>
    <w:sdt>
      <w:sdtPr>
        <w:rPr>
          <w:rFonts w:ascii="Arial" w:hAnsi="Arial" w:cs="Arial"/>
          <w:sz w:val="18"/>
          <w:szCs w:val="18"/>
        </w:rPr>
        <w:id w:val="-1769616900"/>
        <w:docPartObj>
          <w:docPartGallery w:val="Page Numbers (Top of Page)"/>
          <w:docPartUnique/>
        </w:docPartObj>
      </w:sdtPr>
      <w:sdtEndPr/>
      <w:sdtContent>
        <w:r w:rsidRPr="002A7E03">
          <w:rPr>
            <w:rFonts w:ascii="Arial" w:hAnsi="Arial" w:cs="Arial"/>
            <w:sz w:val="18"/>
            <w:szCs w:val="18"/>
          </w:rPr>
          <w:t xml:space="preserve">Page </w:t>
        </w:r>
        <w:r w:rsidRPr="002A7E03">
          <w:rPr>
            <w:rFonts w:ascii="Arial" w:hAnsi="Arial" w:cs="Arial"/>
            <w:b/>
            <w:bCs/>
            <w:sz w:val="18"/>
            <w:szCs w:val="18"/>
          </w:rPr>
          <w:fldChar w:fldCharType="begin"/>
        </w:r>
        <w:r w:rsidRPr="002A7E03">
          <w:rPr>
            <w:rFonts w:ascii="Arial" w:hAnsi="Arial" w:cs="Arial"/>
            <w:b/>
            <w:bCs/>
            <w:sz w:val="18"/>
            <w:szCs w:val="18"/>
          </w:rPr>
          <w:instrText xml:space="preserve"> PAGE </w:instrText>
        </w:r>
        <w:r w:rsidRPr="002A7E03">
          <w:rPr>
            <w:rFonts w:ascii="Arial" w:hAnsi="Arial" w:cs="Arial"/>
            <w:b/>
            <w:bCs/>
            <w:sz w:val="18"/>
            <w:szCs w:val="18"/>
          </w:rPr>
          <w:fldChar w:fldCharType="separate"/>
        </w:r>
        <w:r w:rsidR="00F07762">
          <w:rPr>
            <w:rFonts w:ascii="Arial" w:hAnsi="Arial" w:cs="Arial"/>
            <w:b/>
            <w:bCs/>
            <w:noProof/>
            <w:sz w:val="18"/>
            <w:szCs w:val="18"/>
          </w:rPr>
          <w:t>1</w:t>
        </w:r>
        <w:r w:rsidRPr="002A7E03">
          <w:rPr>
            <w:rFonts w:ascii="Arial" w:hAnsi="Arial" w:cs="Arial"/>
            <w:b/>
            <w:bCs/>
            <w:sz w:val="18"/>
            <w:szCs w:val="18"/>
          </w:rPr>
          <w:fldChar w:fldCharType="end"/>
        </w:r>
        <w:r w:rsidRPr="002A7E03">
          <w:rPr>
            <w:rFonts w:ascii="Arial" w:hAnsi="Arial" w:cs="Arial"/>
            <w:sz w:val="18"/>
            <w:szCs w:val="18"/>
          </w:rPr>
          <w:t xml:space="preserve"> of </w:t>
        </w:r>
        <w:r w:rsidRPr="002A7E03">
          <w:rPr>
            <w:rFonts w:ascii="Arial" w:hAnsi="Arial" w:cs="Arial"/>
            <w:b/>
            <w:bCs/>
            <w:sz w:val="18"/>
            <w:szCs w:val="18"/>
          </w:rPr>
          <w:fldChar w:fldCharType="begin"/>
        </w:r>
        <w:r w:rsidRPr="002A7E03">
          <w:rPr>
            <w:rFonts w:ascii="Arial" w:hAnsi="Arial" w:cs="Arial"/>
            <w:b/>
            <w:bCs/>
            <w:sz w:val="18"/>
            <w:szCs w:val="18"/>
          </w:rPr>
          <w:instrText xml:space="preserve"> NUMPAGES  </w:instrText>
        </w:r>
        <w:r w:rsidRPr="002A7E03">
          <w:rPr>
            <w:rFonts w:ascii="Arial" w:hAnsi="Arial" w:cs="Arial"/>
            <w:b/>
            <w:bCs/>
            <w:sz w:val="18"/>
            <w:szCs w:val="18"/>
          </w:rPr>
          <w:fldChar w:fldCharType="separate"/>
        </w:r>
        <w:r w:rsidR="00F07762">
          <w:rPr>
            <w:rFonts w:ascii="Arial" w:hAnsi="Arial" w:cs="Arial"/>
            <w:b/>
            <w:bCs/>
            <w:noProof/>
            <w:sz w:val="18"/>
            <w:szCs w:val="18"/>
          </w:rPr>
          <w:t>1</w:t>
        </w:r>
        <w:r w:rsidRPr="002A7E03">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62" w:rsidRDefault="00F07762">
      <w:r>
        <w:separator/>
      </w:r>
    </w:p>
  </w:footnote>
  <w:footnote w:type="continuationSeparator" w:id="0">
    <w:p w:rsidR="00F07762" w:rsidRDefault="00F0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62" w:rsidRPr="00F85A9C" w:rsidRDefault="00654A62" w:rsidP="00594156">
    <w:pPr>
      <w:pStyle w:val="Header"/>
      <w:ind w:left="-360"/>
      <w:jc w:val="center"/>
    </w:pPr>
    <w:r>
      <w:rPr>
        <w:noProof/>
      </w:rPr>
      <w:drawing>
        <wp:inline distT="0" distB="0" distL="0" distR="0" wp14:anchorId="39493BB1" wp14:editId="4983D4C2">
          <wp:extent cx="2670048" cy="512064"/>
          <wp:effectExtent l="0" t="0" r="0" b="2540"/>
          <wp:docPr id="3" name="Picture 3" descr="cid:image001.png@01D240BA.0028E32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1.png@01D240BA.0028E32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5152" cy="543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9"/>
    <w:multiLevelType w:val="hybridMultilevel"/>
    <w:tmpl w:val="E6169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8576FC"/>
    <w:multiLevelType w:val="hybridMultilevel"/>
    <w:tmpl w:val="AEAA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759F"/>
    <w:multiLevelType w:val="multilevel"/>
    <w:tmpl w:val="64385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BD11B3"/>
    <w:multiLevelType w:val="hybridMultilevel"/>
    <w:tmpl w:val="28A81C62"/>
    <w:lvl w:ilvl="0" w:tplc="04090019">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E8677A"/>
    <w:multiLevelType w:val="hybridMultilevel"/>
    <w:tmpl w:val="D762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C46F8"/>
    <w:multiLevelType w:val="hybridMultilevel"/>
    <w:tmpl w:val="98D247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BB1F1F"/>
    <w:multiLevelType w:val="hybridMultilevel"/>
    <w:tmpl w:val="9AC022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77581"/>
    <w:multiLevelType w:val="hybridMultilevel"/>
    <w:tmpl w:val="684E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96D5E"/>
    <w:multiLevelType w:val="hybridMultilevel"/>
    <w:tmpl w:val="DE865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ED1D9F"/>
    <w:multiLevelType w:val="hybridMultilevel"/>
    <w:tmpl w:val="D84C75DC"/>
    <w:lvl w:ilvl="0" w:tplc="EC5657C0">
      <w:start w:val="1"/>
      <w:numFmt w:val="decimal"/>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A01BF7"/>
    <w:multiLevelType w:val="hybridMultilevel"/>
    <w:tmpl w:val="04BE31EC"/>
    <w:lvl w:ilvl="0" w:tplc="1B0E4E5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421AC"/>
    <w:multiLevelType w:val="hybridMultilevel"/>
    <w:tmpl w:val="D7626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C3ECD"/>
    <w:multiLevelType w:val="hybridMultilevel"/>
    <w:tmpl w:val="EFA05048"/>
    <w:lvl w:ilvl="0" w:tplc="2FF41D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45C3E"/>
    <w:multiLevelType w:val="hybridMultilevel"/>
    <w:tmpl w:val="AC70E87C"/>
    <w:lvl w:ilvl="0" w:tplc="6EF2BD5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C27421C"/>
    <w:multiLevelType w:val="multilevel"/>
    <w:tmpl w:val="FE1E8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CA81150"/>
    <w:multiLevelType w:val="hybridMultilevel"/>
    <w:tmpl w:val="F65CB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C71B05"/>
    <w:multiLevelType w:val="hybridMultilevel"/>
    <w:tmpl w:val="72EE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A41FA"/>
    <w:multiLevelType w:val="hybridMultilevel"/>
    <w:tmpl w:val="B72C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FF6803"/>
    <w:multiLevelType w:val="hybridMultilevel"/>
    <w:tmpl w:val="0AB41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9C225C"/>
    <w:multiLevelType w:val="hybridMultilevel"/>
    <w:tmpl w:val="9A48682E"/>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1F40EF"/>
    <w:multiLevelType w:val="hybridMultilevel"/>
    <w:tmpl w:val="B72CC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D17404"/>
    <w:multiLevelType w:val="hybridMultilevel"/>
    <w:tmpl w:val="66A0688A"/>
    <w:lvl w:ilvl="0" w:tplc="7052626C">
      <w:start w:val="14"/>
      <w:numFmt w:val="upperLetter"/>
      <w:lvlText w:val="%1."/>
      <w:lvlJc w:val="left"/>
      <w:pPr>
        <w:ind w:left="360" w:hanging="360"/>
      </w:pPr>
      <w:rPr>
        <w:rFonts w:hint="default"/>
      </w:rPr>
    </w:lvl>
    <w:lvl w:ilvl="1" w:tplc="C7C8D042">
      <w:start w:val="14"/>
      <w:numFmt w:val="upperLetter"/>
      <w:lvlText w:val="%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13F06F0"/>
    <w:multiLevelType w:val="multilevel"/>
    <w:tmpl w:val="C106B938"/>
    <w:lvl w:ilvl="0">
      <w:start w:val="1"/>
      <w:numFmt w:val="decimal"/>
      <w:pStyle w:val="Heading1"/>
      <w:lvlText w:val="%1"/>
      <w:lvlJc w:val="left"/>
      <w:pPr>
        <w:tabs>
          <w:tab w:val="num" w:pos="792"/>
        </w:tabs>
        <w:ind w:left="792" w:hanging="432"/>
      </w:pPr>
      <w:rPr>
        <w:rFonts w:hint="default"/>
      </w:rPr>
    </w:lvl>
    <w:lvl w:ilvl="1">
      <w:start w:val="7"/>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68EF5A82"/>
    <w:multiLevelType w:val="hybridMultilevel"/>
    <w:tmpl w:val="CE38BD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F203EA"/>
    <w:multiLevelType w:val="hybridMultilevel"/>
    <w:tmpl w:val="C97E6BE4"/>
    <w:lvl w:ilvl="0" w:tplc="856CF63A">
      <w:start w:val="1"/>
      <w:numFmt w:val="decimal"/>
      <w:lvlText w:val="%1."/>
      <w:lvlJc w:val="left"/>
      <w:pPr>
        <w:ind w:left="720" w:hanging="360"/>
      </w:pPr>
      <w:rPr>
        <w:rFonts w:ascii="Arial" w:hAnsi="Arial" w:cs="Aria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54540"/>
    <w:multiLevelType w:val="hybridMultilevel"/>
    <w:tmpl w:val="D72079F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4D56BE"/>
    <w:multiLevelType w:val="hybridMultilevel"/>
    <w:tmpl w:val="F65CB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0"/>
  </w:num>
  <w:num w:numId="4">
    <w:abstractNumId w:val="2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21"/>
  </w:num>
  <w:num w:numId="9">
    <w:abstractNumId w:val="22"/>
  </w:num>
  <w:num w:numId="10">
    <w:abstractNumId w:val="17"/>
  </w:num>
  <w:num w:numId="11">
    <w:abstractNumId w:val="20"/>
  </w:num>
  <w:num w:numId="12">
    <w:abstractNumId w:val="18"/>
  </w:num>
  <w:num w:numId="13">
    <w:abstractNumId w:val="15"/>
  </w:num>
  <w:num w:numId="14">
    <w:abstractNumId w:val="19"/>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
  </w:num>
  <w:num w:numId="19">
    <w:abstractNumId w:val="10"/>
  </w:num>
  <w:num w:numId="20">
    <w:abstractNumId w:val="12"/>
  </w:num>
  <w:num w:numId="21">
    <w:abstractNumId w:val="6"/>
  </w:num>
  <w:num w:numId="22">
    <w:abstractNumId w:val="25"/>
  </w:num>
  <w:num w:numId="23">
    <w:abstractNumId w:val="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A0"/>
    <w:rsid w:val="00004C10"/>
    <w:rsid w:val="0001741F"/>
    <w:rsid w:val="00021A13"/>
    <w:rsid w:val="00032306"/>
    <w:rsid w:val="00037AE6"/>
    <w:rsid w:val="00046EFA"/>
    <w:rsid w:val="00047916"/>
    <w:rsid w:val="00061DCE"/>
    <w:rsid w:val="00063F80"/>
    <w:rsid w:val="000642DB"/>
    <w:rsid w:val="00071C3F"/>
    <w:rsid w:val="000806C2"/>
    <w:rsid w:val="00084DBE"/>
    <w:rsid w:val="00092760"/>
    <w:rsid w:val="000A0FCE"/>
    <w:rsid w:val="000A1EC5"/>
    <w:rsid w:val="000A259C"/>
    <w:rsid w:val="000A3383"/>
    <w:rsid w:val="000A4984"/>
    <w:rsid w:val="000B5E5D"/>
    <w:rsid w:val="000D21FC"/>
    <w:rsid w:val="000D4E8E"/>
    <w:rsid w:val="000D5287"/>
    <w:rsid w:val="000E1324"/>
    <w:rsid w:val="000E25C3"/>
    <w:rsid w:val="000E2BB5"/>
    <w:rsid w:val="000F072D"/>
    <w:rsid w:val="000F67F8"/>
    <w:rsid w:val="000F71E3"/>
    <w:rsid w:val="000F7455"/>
    <w:rsid w:val="00107D81"/>
    <w:rsid w:val="00114926"/>
    <w:rsid w:val="001169C6"/>
    <w:rsid w:val="00121B6D"/>
    <w:rsid w:val="00122B0B"/>
    <w:rsid w:val="00123561"/>
    <w:rsid w:val="00124237"/>
    <w:rsid w:val="0014192A"/>
    <w:rsid w:val="00154B11"/>
    <w:rsid w:val="00154E39"/>
    <w:rsid w:val="00156C43"/>
    <w:rsid w:val="00173DDC"/>
    <w:rsid w:val="00176D0E"/>
    <w:rsid w:val="0017724F"/>
    <w:rsid w:val="00190B20"/>
    <w:rsid w:val="00192931"/>
    <w:rsid w:val="00194A49"/>
    <w:rsid w:val="00195A9A"/>
    <w:rsid w:val="001A0166"/>
    <w:rsid w:val="001A0BBF"/>
    <w:rsid w:val="001A3BF8"/>
    <w:rsid w:val="001B74E7"/>
    <w:rsid w:val="001C73B0"/>
    <w:rsid w:val="001D0FB1"/>
    <w:rsid w:val="001D4E71"/>
    <w:rsid w:val="001F16C1"/>
    <w:rsid w:val="001F5889"/>
    <w:rsid w:val="00202F05"/>
    <w:rsid w:val="00203233"/>
    <w:rsid w:val="002040D0"/>
    <w:rsid w:val="002117CF"/>
    <w:rsid w:val="00245FB2"/>
    <w:rsid w:val="002479E3"/>
    <w:rsid w:val="0026583C"/>
    <w:rsid w:val="00271FFA"/>
    <w:rsid w:val="00276A61"/>
    <w:rsid w:val="0027747A"/>
    <w:rsid w:val="002856C6"/>
    <w:rsid w:val="002858DD"/>
    <w:rsid w:val="002950FD"/>
    <w:rsid w:val="002A3394"/>
    <w:rsid w:val="002A7E03"/>
    <w:rsid w:val="002D20BF"/>
    <w:rsid w:val="002D2C30"/>
    <w:rsid w:val="002D415E"/>
    <w:rsid w:val="002E3DA0"/>
    <w:rsid w:val="002F3499"/>
    <w:rsid w:val="002F3981"/>
    <w:rsid w:val="002F75E7"/>
    <w:rsid w:val="00303E9E"/>
    <w:rsid w:val="003120A0"/>
    <w:rsid w:val="00313EAA"/>
    <w:rsid w:val="00316120"/>
    <w:rsid w:val="0031747C"/>
    <w:rsid w:val="00330603"/>
    <w:rsid w:val="00332799"/>
    <w:rsid w:val="00334E43"/>
    <w:rsid w:val="003575A5"/>
    <w:rsid w:val="003622E9"/>
    <w:rsid w:val="003709F0"/>
    <w:rsid w:val="00383887"/>
    <w:rsid w:val="00384C8C"/>
    <w:rsid w:val="003903BB"/>
    <w:rsid w:val="003A0259"/>
    <w:rsid w:val="003A29F3"/>
    <w:rsid w:val="003A3686"/>
    <w:rsid w:val="003A4A00"/>
    <w:rsid w:val="003B0772"/>
    <w:rsid w:val="003B5405"/>
    <w:rsid w:val="003C0E8A"/>
    <w:rsid w:val="003C2E5F"/>
    <w:rsid w:val="003C5E01"/>
    <w:rsid w:val="003D444A"/>
    <w:rsid w:val="003D49F9"/>
    <w:rsid w:val="003F0955"/>
    <w:rsid w:val="003F0C98"/>
    <w:rsid w:val="003F5CCB"/>
    <w:rsid w:val="00400ED3"/>
    <w:rsid w:val="00400EE3"/>
    <w:rsid w:val="00403652"/>
    <w:rsid w:val="0040391A"/>
    <w:rsid w:val="00406471"/>
    <w:rsid w:val="00413455"/>
    <w:rsid w:val="004150AA"/>
    <w:rsid w:val="004231C6"/>
    <w:rsid w:val="00433D01"/>
    <w:rsid w:val="00434919"/>
    <w:rsid w:val="00435BF2"/>
    <w:rsid w:val="004417CE"/>
    <w:rsid w:val="00442B49"/>
    <w:rsid w:val="00444B0E"/>
    <w:rsid w:val="00446E39"/>
    <w:rsid w:val="00453223"/>
    <w:rsid w:val="00456757"/>
    <w:rsid w:val="00457908"/>
    <w:rsid w:val="004608DB"/>
    <w:rsid w:val="00462452"/>
    <w:rsid w:val="00462FEF"/>
    <w:rsid w:val="00473961"/>
    <w:rsid w:val="004775F8"/>
    <w:rsid w:val="00477FEB"/>
    <w:rsid w:val="00481C70"/>
    <w:rsid w:val="00482929"/>
    <w:rsid w:val="00484F61"/>
    <w:rsid w:val="0049497B"/>
    <w:rsid w:val="004A2514"/>
    <w:rsid w:val="004A27B6"/>
    <w:rsid w:val="004A6207"/>
    <w:rsid w:val="004A7D8F"/>
    <w:rsid w:val="004C7A62"/>
    <w:rsid w:val="004C7FDC"/>
    <w:rsid w:val="004D1213"/>
    <w:rsid w:val="004E3627"/>
    <w:rsid w:val="004E3BA9"/>
    <w:rsid w:val="004E42C1"/>
    <w:rsid w:val="004E4884"/>
    <w:rsid w:val="00504C35"/>
    <w:rsid w:val="00506462"/>
    <w:rsid w:val="0051090C"/>
    <w:rsid w:val="00511D19"/>
    <w:rsid w:val="00515228"/>
    <w:rsid w:val="00517658"/>
    <w:rsid w:val="0052469C"/>
    <w:rsid w:val="0052776C"/>
    <w:rsid w:val="005412A0"/>
    <w:rsid w:val="00544A55"/>
    <w:rsid w:val="00546A26"/>
    <w:rsid w:val="00551B95"/>
    <w:rsid w:val="0055482A"/>
    <w:rsid w:val="00554F5C"/>
    <w:rsid w:val="005706D4"/>
    <w:rsid w:val="00571098"/>
    <w:rsid w:val="00571256"/>
    <w:rsid w:val="00577802"/>
    <w:rsid w:val="00581E5E"/>
    <w:rsid w:val="00594156"/>
    <w:rsid w:val="00596E85"/>
    <w:rsid w:val="005B659C"/>
    <w:rsid w:val="005C4544"/>
    <w:rsid w:val="005C63B1"/>
    <w:rsid w:val="005D3329"/>
    <w:rsid w:val="005E1FE3"/>
    <w:rsid w:val="005E5E2E"/>
    <w:rsid w:val="005E774A"/>
    <w:rsid w:val="005F0247"/>
    <w:rsid w:val="005F1CC3"/>
    <w:rsid w:val="00606420"/>
    <w:rsid w:val="00610768"/>
    <w:rsid w:val="00613118"/>
    <w:rsid w:val="006144F9"/>
    <w:rsid w:val="00621786"/>
    <w:rsid w:val="006400C6"/>
    <w:rsid w:val="00653599"/>
    <w:rsid w:val="00654A62"/>
    <w:rsid w:val="00655C06"/>
    <w:rsid w:val="00657588"/>
    <w:rsid w:val="0067159E"/>
    <w:rsid w:val="00682E30"/>
    <w:rsid w:val="006843B9"/>
    <w:rsid w:val="0068559F"/>
    <w:rsid w:val="00686EA3"/>
    <w:rsid w:val="006874CB"/>
    <w:rsid w:val="00687E79"/>
    <w:rsid w:val="00690667"/>
    <w:rsid w:val="00695A0B"/>
    <w:rsid w:val="00696AB3"/>
    <w:rsid w:val="006A384C"/>
    <w:rsid w:val="006A3CA7"/>
    <w:rsid w:val="006A620E"/>
    <w:rsid w:val="006C2EE7"/>
    <w:rsid w:val="006C5654"/>
    <w:rsid w:val="006D08A4"/>
    <w:rsid w:val="006D08DC"/>
    <w:rsid w:val="006D1015"/>
    <w:rsid w:val="006D504A"/>
    <w:rsid w:val="006D6294"/>
    <w:rsid w:val="006E1A80"/>
    <w:rsid w:val="006E3DAE"/>
    <w:rsid w:val="006E5CF9"/>
    <w:rsid w:val="006E6D6B"/>
    <w:rsid w:val="006F6691"/>
    <w:rsid w:val="00710576"/>
    <w:rsid w:val="00714F88"/>
    <w:rsid w:val="007151FD"/>
    <w:rsid w:val="00720C2A"/>
    <w:rsid w:val="00724F0E"/>
    <w:rsid w:val="00746570"/>
    <w:rsid w:val="00746C4C"/>
    <w:rsid w:val="007502D3"/>
    <w:rsid w:val="00751A03"/>
    <w:rsid w:val="00751A85"/>
    <w:rsid w:val="00751E42"/>
    <w:rsid w:val="00752F6A"/>
    <w:rsid w:val="00755221"/>
    <w:rsid w:val="007558CE"/>
    <w:rsid w:val="00763063"/>
    <w:rsid w:val="007647C8"/>
    <w:rsid w:val="00764BAB"/>
    <w:rsid w:val="00775BD8"/>
    <w:rsid w:val="00780694"/>
    <w:rsid w:val="00782D19"/>
    <w:rsid w:val="00790C57"/>
    <w:rsid w:val="00795522"/>
    <w:rsid w:val="00795D96"/>
    <w:rsid w:val="007A0382"/>
    <w:rsid w:val="007A142E"/>
    <w:rsid w:val="007A6F84"/>
    <w:rsid w:val="007A6F9D"/>
    <w:rsid w:val="007A78E2"/>
    <w:rsid w:val="007B2B79"/>
    <w:rsid w:val="007C05A5"/>
    <w:rsid w:val="007C19B5"/>
    <w:rsid w:val="007C1A8F"/>
    <w:rsid w:val="007C2B1D"/>
    <w:rsid w:val="007C2FA5"/>
    <w:rsid w:val="007C7C36"/>
    <w:rsid w:val="007D40BB"/>
    <w:rsid w:val="007D7D42"/>
    <w:rsid w:val="007E66A2"/>
    <w:rsid w:val="007E6C2F"/>
    <w:rsid w:val="007F3640"/>
    <w:rsid w:val="00800718"/>
    <w:rsid w:val="008029C1"/>
    <w:rsid w:val="00817326"/>
    <w:rsid w:val="00822452"/>
    <w:rsid w:val="00827B80"/>
    <w:rsid w:val="00841663"/>
    <w:rsid w:val="008419CC"/>
    <w:rsid w:val="008473BE"/>
    <w:rsid w:val="008500E2"/>
    <w:rsid w:val="0085050A"/>
    <w:rsid w:val="008506BD"/>
    <w:rsid w:val="00850B1B"/>
    <w:rsid w:val="0085106B"/>
    <w:rsid w:val="0085299A"/>
    <w:rsid w:val="0085670E"/>
    <w:rsid w:val="008608BA"/>
    <w:rsid w:val="008649AE"/>
    <w:rsid w:val="00866625"/>
    <w:rsid w:val="0087508D"/>
    <w:rsid w:val="0087513C"/>
    <w:rsid w:val="008834B2"/>
    <w:rsid w:val="00887674"/>
    <w:rsid w:val="00895277"/>
    <w:rsid w:val="00895632"/>
    <w:rsid w:val="00895D98"/>
    <w:rsid w:val="008B00A7"/>
    <w:rsid w:val="008B30CE"/>
    <w:rsid w:val="008B4F0B"/>
    <w:rsid w:val="008D63E4"/>
    <w:rsid w:val="008E6DCF"/>
    <w:rsid w:val="008F292A"/>
    <w:rsid w:val="008F59DA"/>
    <w:rsid w:val="008F7832"/>
    <w:rsid w:val="009006A6"/>
    <w:rsid w:val="00910417"/>
    <w:rsid w:val="00915F1E"/>
    <w:rsid w:val="0092074E"/>
    <w:rsid w:val="00921500"/>
    <w:rsid w:val="009277B8"/>
    <w:rsid w:val="009321FC"/>
    <w:rsid w:val="00936850"/>
    <w:rsid w:val="00936EDB"/>
    <w:rsid w:val="00940327"/>
    <w:rsid w:val="009422F9"/>
    <w:rsid w:val="00942DB4"/>
    <w:rsid w:val="00950C2D"/>
    <w:rsid w:val="009548D7"/>
    <w:rsid w:val="00957949"/>
    <w:rsid w:val="00960449"/>
    <w:rsid w:val="00960764"/>
    <w:rsid w:val="00966635"/>
    <w:rsid w:val="00966B80"/>
    <w:rsid w:val="00972905"/>
    <w:rsid w:val="009746DC"/>
    <w:rsid w:val="009757C9"/>
    <w:rsid w:val="00976AB1"/>
    <w:rsid w:val="009863FB"/>
    <w:rsid w:val="0099305E"/>
    <w:rsid w:val="009947B3"/>
    <w:rsid w:val="009A21A7"/>
    <w:rsid w:val="009A3FB2"/>
    <w:rsid w:val="009A70DC"/>
    <w:rsid w:val="009B04A0"/>
    <w:rsid w:val="009B56E8"/>
    <w:rsid w:val="009B77BA"/>
    <w:rsid w:val="009E12C3"/>
    <w:rsid w:val="009E3116"/>
    <w:rsid w:val="009E4448"/>
    <w:rsid w:val="009E4573"/>
    <w:rsid w:val="009F3576"/>
    <w:rsid w:val="009F4395"/>
    <w:rsid w:val="009F70B3"/>
    <w:rsid w:val="00A015F7"/>
    <w:rsid w:val="00A01F01"/>
    <w:rsid w:val="00A12B50"/>
    <w:rsid w:val="00A16C2F"/>
    <w:rsid w:val="00A17262"/>
    <w:rsid w:val="00A20435"/>
    <w:rsid w:val="00A21575"/>
    <w:rsid w:val="00A22E87"/>
    <w:rsid w:val="00A2784F"/>
    <w:rsid w:val="00A31242"/>
    <w:rsid w:val="00A35FA4"/>
    <w:rsid w:val="00A37DDB"/>
    <w:rsid w:val="00A40690"/>
    <w:rsid w:val="00A442F0"/>
    <w:rsid w:val="00A522EA"/>
    <w:rsid w:val="00A55F42"/>
    <w:rsid w:val="00A63E32"/>
    <w:rsid w:val="00A70C46"/>
    <w:rsid w:val="00A95416"/>
    <w:rsid w:val="00A97C77"/>
    <w:rsid w:val="00AB117B"/>
    <w:rsid w:val="00AB30C7"/>
    <w:rsid w:val="00AB3B8D"/>
    <w:rsid w:val="00AB45D1"/>
    <w:rsid w:val="00AB7023"/>
    <w:rsid w:val="00AC4585"/>
    <w:rsid w:val="00AC64EE"/>
    <w:rsid w:val="00AD0C5A"/>
    <w:rsid w:val="00AD0DCD"/>
    <w:rsid w:val="00AD303E"/>
    <w:rsid w:val="00AD5A7F"/>
    <w:rsid w:val="00AE038F"/>
    <w:rsid w:val="00AE54CD"/>
    <w:rsid w:val="00AE5DBA"/>
    <w:rsid w:val="00AE608D"/>
    <w:rsid w:val="00AF0E55"/>
    <w:rsid w:val="00AF2B6D"/>
    <w:rsid w:val="00B01B61"/>
    <w:rsid w:val="00B0271D"/>
    <w:rsid w:val="00B04542"/>
    <w:rsid w:val="00B0554C"/>
    <w:rsid w:val="00B100AA"/>
    <w:rsid w:val="00B1013D"/>
    <w:rsid w:val="00B10CF4"/>
    <w:rsid w:val="00B12C79"/>
    <w:rsid w:val="00B15437"/>
    <w:rsid w:val="00B22D92"/>
    <w:rsid w:val="00B23E2D"/>
    <w:rsid w:val="00B3299D"/>
    <w:rsid w:val="00B33D4F"/>
    <w:rsid w:val="00B5588E"/>
    <w:rsid w:val="00B6371C"/>
    <w:rsid w:val="00B77A85"/>
    <w:rsid w:val="00B8297A"/>
    <w:rsid w:val="00B85D0C"/>
    <w:rsid w:val="00B86173"/>
    <w:rsid w:val="00B906CB"/>
    <w:rsid w:val="00B93891"/>
    <w:rsid w:val="00B97489"/>
    <w:rsid w:val="00BA484C"/>
    <w:rsid w:val="00BB036A"/>
    <w:rsid w:val="00BB22E4"/>
    <w:rsid w:val="00BB3011"/>
    <w:rsid w:val="00BC08BD"/>
    <w:rsid w:val="00BC175F"/>
    <w:rsid w:val="00BC1CE8"/>
    <w:rsid w:val="00BD004B"/>
    <w:rsid w:val="00BD16E0"/>
    <w:rsid w:val="00BD2342"/>
    <w:rsid w:val="00BD44E7"/>
    <w:rsid w:val="00BD6263"/>
    <w:rsid w:val="00BE0B5C"/>
    <w:rsid w:val="00BE3395"/>
    <w:rsid w:val="00BE3AA2"/>
    <w:rsid w:val="00BE7FE4"/>
    <w:rsid w:val="00BF1E83"/>
    <w:rsid w:val="00BF6663"/>
    <w:rsid w:val="00C00EC8"/>
    <w:rsid w:val="00C063B2"/>
    <w:rsid w:val="00C14953"/>
    <w:rsid w:val="00C20B21"/>
    <w:rsid w:val="00C27C2C"/>
    <w:rsid w:val="00C352A6"/>
    <w:rsid w:val="00C374B2"/>
    <w:rsid w:val="00C37675"/>
    <w:rsid w:val="00C37A3D"/>
    <w:rsid w:val="00C44727"/>
    <w:rsid w:val="00C45781"/>
    <w:rsid w:val="00C579FE"/>
    <w:rsid w:val="00C62487"/>
    <w:rsid w:val="00C7043E"/>
    <w:rsid w:val="00C71FC5"/>
    <w:rsid w:val="00C763FB"/>
    <w:rsid w:val="00CA0B7C"/>
    <w:rsid w:val="00CB19F6"/>
    <w:rsid w:val="00CB3143"/>
    <w:rsid w:val="00CB3167"/>
    <w:rsid w:val="00CB34D7"/>
    <w:rsid w:val="00CB4036"/>
    <w:rsid w:val="00CB414B"/>
    <w:rsid w:val="00CC289A"/>
    <w:rsid w:val="00CC32B1"/>
    <w:rsid w:val="00CC3CD9"/>
    <w:rsid w:val="00CC6505"/>
    <w:rsid w:val="00CD0C2A"/>
    <w:rsid w:val="00CD23EE"/>
    <w:rsid w:val="00CE03BE"/>
    <w:rsid w:val="00CE358D"/>
    <w:rsid w:val="00CE6EE5"/>
    <w:rsid w:val="00CF5F5B"/>
    <w:rsid w:val="00D02E53"/>
    <w:rsid w:val="00D15AC9"/>
    <w:rsid w:val="00D22E1F"/>
    <w:rsid w:val="00D26AA9"/>
    <w:rsid w:val="00D40593"/>
    <w:rsid w:val="00D4617D"/>
    <w:rsid w:val="00D64AFD"/>
    <w:rsid w:val="00D708E0"/>
    <w:rsid w:val="00D76D4D"/>
    <w:rsid w:val="00D85492"/>
    <w:rsid w:val="00D86E72"/>
    <w:rsid w:val="00D94585"/>
    <w:rsid w:val="00D96ABC"/>
    <w:rsid w:val="00DA25EA"/>
    <w:rsid w:val="00DA5742"/>
    <w:rsid w:val="00DB1296"/>
    <w:rsid w:val="00DC0146"/>
    <w:rsid w:val="00DC6D50"/>
    <w:rsid w:val="00DD10E1"/>
    <w:rsid w:val="00DD1471"/>
    <w:rsid w:val="00DE4EB4"/>
    <w:rsid w:val="00DE513F"/>
    <w:rsid w:val="00DF0907"/>
    <w:rsid w:val="00DF7BA5"/>
    <w:rsid w:val="00E06FC0"/>
    <w:rsid w:val="00E109A4"/>
    <w:rsid w:val="00E10E05"/>
    <w:rsid w:val="00E110B7"/>
    <w:rsid w:val="00E169E2"/>
    <w:rsid w:val="00E21B06"/>
    <w:rsid w:val="00E24CA4"/>
    <w:rsid w:val="00E422E9"/>
    <w:rsid w:val="00E430A9"/>
    <w:rsid w:val="00E4411D"/>
    <w:rsid w:val="00E460FB"/>
    <w:rsid w:val="00E4614D"/>
    <w:rsid w:val="00E50656"/>
    <w:rsid w:val="00E52291"/>
    <w:rsid w:val="00E57667"/>
    <w:rsid w:val="00E61CB4"/>
    <w:rsid w:val="00E66123"/>
    <w:rsid w:val="00E66427"/>
    <w:rsid w:val="00E70DFC"/>
    <w:rsid w:val="00E771F9"/>
    <w:rsid w:val="00E9158A"/>
    <w:rsid w:val="00E9184A"/>
    <w:rsid w:val="00EA5936"/>
    <w:rsid w:val="00EB0127"/>
    <w:rsid w:val="00EB3270"/>
    <w:rsid w:val="00EB59AB"/>
    <w:rsid w:val="00EB5B64"/>
    <w:rsid w:val="00EC028B"/>
    <w:rsid w:val="00EC2E2C"/>
    <w:rsid w:val="00EC729E"/>
    <w:rsid w:val="00EC76B5"/>
    <w:rsid w:val="00EC7954"/>
    <w:rsid w:val="00ED1834"/>
    <w:rsid w:val="00ED1B43"/>
    <w:rsid w:val="00ED5519"/>
    <w:rsid w:val="00EE6DF8"/>
    <w:rsid w:val="00EF0F92"/>
    <w:rsid w:val="00F03D0D"/>
    <w:rsid w:val="00F0634C"/>
    <w:rsid w:val="00F07762"/>
    <w:rsid w:val="00F11F5E"/>
    <w:rsid w:val="00F1737B"/>
    <w:rsid w:val="00F2226F"/>
    <w:rsid w:val="00F337DB"/>
    <w:rsid w:val="00F34D77"/>
    <w:rsid w:val="00F45195"/>
    <w:rsid w:val="00F5015F"/>
    <w:rsid w:val="00F63909"/>
    <w:rsid w:val="00F7173E"/>
    <w:rsid w:val="00F73FB1"/>
    <w:rsid w:val="00F7403D"/>
    <w:rsid w:val="00F813FA"/>
    <w:rsid w:val="00F85A9C"/>
    <w:rsid w:val="00FA1525"/>
    <w:rsid w:val="00FA2351"/>
    <w:rsid w:val="00FA6984"/>
    <w:rsid w:val="00FB3396"/>
    <w:rsid w:val="00FB7659"/>
    <w:rsid w:val="00FC0CD7"/>
    <w:rsid w:val="00FC3152"/>
    <w:rsid w:val="00FD3F9A"/>
    <w:rsid w:val="00FD5A70"/>
    <w:rsid w:val="00FF1DA9"/>
    <w:rsid w:val="00FF1FE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79F26"/>
  <w15:docId w15:val="{1AF4F52A-9752-4F53-B713-49047D32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52"/>
    <w:rPr>
      <w:sz w:val="24"/>
    </w:rPr>
  </w:style>
  <w:style w:type="paragraph" w:styleId="Heading1">
    <w:name w:val="heading 1"/>
    <w:basedOn w:val="Normal"/>
    <w:next w:val="Normal"/>
    <w:qFormat/>
    <w:rsid w:val="00FC3152"/>
    <w:pPr>
      <w:keepNext/>
      <w:numPr>
        <w:numId w:val="9"/>
      </w:numPr>
      <w:jc w:val="center"/>
      <w:outlineLvl w:val="0"/>
    </w:pPr>
    <w:rPr>
      <w:b/>
      <w:caps/>
    </w:rPr>
  </w:style>
  <w:style w:type="paragraph" w:styleId="Heading2">
    <w:name w:val="heading 2"/>
    <w:basedOn w:val="Normal"/>
    <w:next w:val="Normal"/>
    <w:qFormat/>
    <w:rsid w:val="00F337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C3152"/>
    <w:pPr>
      <w:framePr w:w="7920" w:h="1980" w:hRule="exact" w:hSpace="180" w:wrap="auto" w:hAnchor="page" w:xAlign="center" w:yAlign="bottom"/>
      <w:ind w:left="2880"/>
    </w:pPr>
    <w:rPr>
      <w:rFonts w:ascii="Courier New" w:hAnsi="Courier New"/>
      <w:caps/>
      <w:sz w:val="20"/>
    </w:rPr>
  </w:style>
  <w:style w:type="paragraph" w:styleId="EnvelopeReturn">
    <w:name w:val="envelope return"/>
    <w:basedOn w:val="Normal"/>
    <w:rsid w:val="00FC3152"/>
    <w:rPr>
      <w:rFonts w:ascii="Courier New" w:hAnsi="Courier New"/>
      <w:caps/>
      <w:sz w:val="20"/>
    </w:rPr>
  </w:style>
  <w:style w:type="paragraph" w:styleId="BodyText">
    <w:name w:val="Body Text"/>
    <w:basedOn w:val="Normal"/>
    <w:rsid w:val="00FC3152"/>
    <w:pPr>
      <w:jc w:val="both"/>
    </w:pPr>
  </w:style>
  <w:style w:type="paragraph" w:styleId="Header">
    <w:name w:val="header"/>
    <w:basedOn w:val="Normal"/>
    <w:rsid w:val="00FC3152"/>
    <w:pPr>
      <w:tabs>
        <w:tab w:val="center" w:pos="4320"/>
        <w:tab w:val="right" w:pos="8640"/>
      </w:tabs>
    </w:pPr>
  </w:style>
  <w:style w:type="paragraph" w:styleId="Footer">
    <w:name w:val="footer"/>
    <w:basedOn w:val="Normal"/>
    <w:link w:val="FooterChar"/>
    <w:uiPriority w:val="99"/>
    <w:rsid w:val="00FC3152"/>
    <w:pPr>
      <w:tabs>
        <w:tab w:val="center" w:pos="4320"/>
        <w:tab w:val="right" w:pos="8640"/>
      </w:tabs>
    </w:pPr>
  </w:style>
  <w:style w:type="character" w:styleId="Hyperlink">
    <w:name w:val="Hyperlink"/>
    <w:uiPriority w:val="99"/>
    <w:rsid w:val="00FC3152"/>
    <w:rPr>
      <w:color w:val="0000FF"/>
      <w:u w:val="single"/>
    </w:rPr>
  </w:style>
  <w:style w:type="character" w:styleId="FollowedHyperlink">
    <w:name w:val="FollowedHyperlink"/>
    <w:rsid w:val="00FC3152"/>
    <w:rPr>
      <w:color w:val="800080"/>
      <w:u w:val="single"/>
    </w:rPr>
  </w:style>
  <w:style w:type="character" w:styleId="PageNumber">
    <w:name w:val="page number"/>
    <w:basedOn w:val="DefaultParagraphFont"/>
    <w:rsid w:val="00071C3F"/>
  </w:style>
  <w:style w:type="paragraph" w:styleId="BodyTextIndent">
    <w:name w:val="Body Text Indent"/>
    <w:basedOn w:val="Normal"/>
    <w:link w:val="BodyTextIndentChar"/>
    <w:rsid w:val="00F337DB"/>
    <w:pPr>
      <w:overflowPunct w:val="0"/>
      <w:autoSpaceDE w:val="0"/>
      <w:autoSpaceDN w:val="0"/>
      <w:adjustRightInd w:val="0"/>
      <w:spacing w:after="120"/>
      <w:ind w:left="360"/>
      <w:textAlignment w:val="baseline"/>
    </w:pPr>
    <w:rPr>
      <w:szCs w:val="24"/>
    </w:rPr>
  </w:style>
  <w:style w:type="paragraph" w:styleId="Title">
    <w:name w:val="Title"/>
    <w:basedOn w:val="Normal"/>
    <w:qFormat/>
    <w:rsid w:val="00714F88"/>
    <w:pPr>
      <w:jc w:val="center"/>
    </w:pPr>
    <w:rPr>
      <w:b/>
      <w:color w:val="0000FF"/>
      <w:sz w:val="28"/>
    </w:rPr>
  </w:style>
  <w:style w:type="paragraph" w:styleId="BalloonText">
    <w:name w:val="Balloon Text"/>
    <w:basedOn w:val="Normal"/>
    <w:link w:val="BalloonTextChar"/>
    <w:rsid w:val="009E4573"/>
    <w:rPr>
      <w:rFonts w:ascii="Tahoma" w:hAnsi="Tahoma" w:cs="Tahoma"/>
      <w:sz w:val="16"/>
      <w:szCs w:val="16"/>
    </w:rPr>
  </w:style>
  <w:style w:type="character" w:customStyle="1" w:styleId="BalloonTextChar">
    <w:name w:val="Balloon Text Char"/>
    <w:link w:val="BalloonText"/>
    <w:rsid w:val="009E4573"/>
    <w:rPr>
      <w:rFonts w:ascii="Tahoma" w:hAnsi="Tahoma" w:cs="Tahoma"/>
      <w:sz w:val="16"/>
      <w:szCs w:val="16"/>
    </w:rPr>
  </w:style>
  <w:style w:type="paragraph" w:styleId="ListParagraph">
    <w:name w:val="List Paragraph"/>
    <w:basedOn w:val="Normal"/>
    <w:link w:val="ListParagraphChar"/>
    <w:uiPriority w:val="34"/>
    <w:qFormat/>
    <w:rsid w:val="006E5CF9"/>
    <w:pPr>
      <w:overflowPunct w:val="0"/>
      <w:autoSpaceDE w:val="0"/>
      <w:autoSpaceDN w:val="0"/>
      <w:adjustRightInd w:val="0"/>
      <w:ind w:left="720"/>
      <w:contextualSpacing/>
      <w:textAlignment w:val="baseline"/>
    </w:pPr>
    <w:rPr>
      <w:szCs w:val="24"/>
    </w:rPr>
  </w:style>
  <w:style w:type="table" w:styleId="TableGrid">
    <w:name w:val="Table Grid"/>
    <w:basedOn w:val="TableNormal"/>
    <w:uiPriority w:val="39"/>
    <w:rsid w:val="00E7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DF0907"/>
    <w:rPr>
      <w:sz w:val="24"/>
      <w:szCs w:val="24"/>
    </w:rPr>
  </w:style>
  <w:style w:type="character" w:customStyle="1" w:styleId="FooterChar">
    <w:name w:val="Footer Char"/>
    <w:basedOn w:val="DefaultParagraphFont"/>
    <w:link w:val="Footer"/>
    <w:uiPriority w:val="99"/>
    <w:rsid w:val="00046EFA"/>
    <w:rPr>
      <w:sz w:val="24"/>
    </w:rPr>
  </w:style>
  <w:style w:type="paragraph" w:customStyle="1" w:styleId="Uppercasehardlettered">
    <w:name w:val="Uppercase hard lettered"/>
    <w:basedOn w:val="Normal"/>
    <w:rsid w:val="00FD3F9A"/>
    <w:pPr>
      <w:tabs>
        <w:tab w:val="left" w:pos="360"/>
      </w:tabs>
      <w:spacing w:before="60" w:after="60" w:line="276" w:lineRule="auto"/>
      <w:ind w:left="360" w:hanging="360"/>
    </w:pPr>
    <w:rPr>
      <w:rFonts w:ascii="Cambria" w:eastAsiaTheme="minorHAnsi" w:hAnsi="Cambria" w:cstheme="minorBidi"/>
      <w:sz w:val="22"/>
      <w:szCs w:val="22"/>
    </w:rPr>
  </w:style>
  <w:style w:type="character" w:customStyle="1" w:styleId="ListParagraphChar">
    <w:name w:val="List Paragraph Char"/>
    <w:basedOn w:val="DefaultParagraphFont"/>
    <w:link w:val="ListParagraph"/>
    <w:uiPriority w:val="34"/>
    <w:rsid w:val="00FD3F9A"/>
    <w:rPr>
      <w:sz w:val="24"/>
      <w:szCs w:val="24"/>
    </w:rPr>
  </w:style>
  <w:style w:type="character" w:styleId="CommentReference">
    <w:name w:val="annotation reference"/>
    <w:basedOn w:val="DefaultParagraphFont"/>
    <w:semiHidden/>
    <w:unhideWhenUsed/>
    <w:rsid w:val="004E3627"/>
    <w:rPr>
      <w:sz w:val="16"/>
      <w:szCs w:val="16"/>
    </w:rPr>
  </w:style>
  <w:style w:type="paragraph" w:styleId="CommentText">
    <w:name w:val="annotation text"/>
    <w:basedOn w:val="Normal"/>
    <w:link w:val="CommentTextChar"/>
    <w:semiHidden/>
    <w:unhideWhenUsed/>
    <w:rsid w:val="004E3627"/>
    <w:rPr>
      <w:sz w:val="20"/>
    </w:rPr>
  </w:style>
  <w:style w:type="character" w:customStyle="1" w:styleId="CommentTextChar">
    <w:name w:val="Comment Text Char"/>
    <w:basedOn w:val="DefaultParagraphFont"/>
    <w:link w:val="CommentText"/>
    <w:semiHidden/>
    <w:rsid w:val="004E3627"/>
  </w:style>
  <w:style w:type="paragraph" w:styleId="CommentSubject">
    <w:name w:val="annotation subject"/>
    <w:basedOn w:val="CommentText"/>
    <w:next w:val="CommentText"/>
    <w:link w:val="CommentSubjectChar"/>
    <w:semiHidden/>
    <w:unhideWhenUsed/>
    <w:rsid w:val="004E3627"/>
    <w:rPr>
      <w:b/>
      <w:bCs/>
    </w:rPr>
  </w:style>
  <w:style w:type="character" w:customStyle="1" w:styleId="CommentSubjectChar">
    <w:name w:val="Comment Subject Char"/>
    <w:basedOn w:val="CommentTextChar"/>
    <w:link w:val="CommentSubject"/>
    <w:semiHidden/>
    <w:rsid w:val="004E3627"/>
    <w:rPr>
      <w:b/>
      <w:bCs/>
    </w:rPr>
  </w:style>
  <w:style w:type="character" w:styleId="PlaceholderText">
    <w:name w:val="Placeholder Text"/>
    <w:basedOn w:val="DefaultParagraphFont"/>
    <w:uiPriority w:val="99"/>
    <w:semiHidden/>
    <w:rsid w:val="00B23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8609">
      <w:bodyDiv w:val="1"/>
      <w:marLeft w:val="0"/>
      <w:marRight w:val="0"/>
      <w:marTop w:val="0"/>
      <w:marBottom w:val="0"/>
      <w:divBdr>
        <w:top w:val="none" w:sz="0" w:space="0" w:color="auto"/>
        <w:left w:val="none" w:sz="0" w:space="0" w:color="auto"/>
        <w:bottom w:val="none" w:sz="0" w:space="0" w:color="auto"/>
        <w:right w:val="none" w:sz="0" w:space="0" w:color="auto"/>
      </w:divBdr>
    </w:div>
    <w:div w:id="246691206">
      <w:bodyDiv w:val="1"/>
      <w:marLeft w:val="0"/>
      <w:marRight w:val="0"/>
      <w:marTop w:val="0"/>
      <w:marBottom w:val="0"/>
      <w:divBdr>
        <w:top w:val="none" w:sz="0" w:space="0" w:color="auto"/>
        <w:left w:val="none" w:sz="0" w:space="0" w:color="auto"/>
        <w:bottom w:val="none" w:sz="0" w:space="0" w:color="auto"/>
        <w:right w:val="none" w:sz="0" w:space="0" w:color="auto"/>
      </w:divBdr>
    </w:div>
    <w:div w:id="380324670">
      <w:bodyDiv w:val="1"/>
      <w:marLeft w:val="0"/>
      <w:marRight w:val="0"/>
      <w:marTop w:val="0"/>
      <w:marBottom w:val="0"/>
      <w:divBdr>
        <w:top w:val="none" w:sz="0" w:space="0" w:color="auto"/>
        <w:left w:val="none" w:sz="0" w:space="0" w:color="auto"/>
        <w:bottom w:val="none" w:sz="0" w:space="0" w:color="auto"/>
        <w:right w:val="none" w:sz="0" w:space="0" w:color="auto"/>
      </w:divBdr>
    </w:div>
    <w:div w:id="400904443">
      <w:bodyDiv w:val="1"/>
      <w:marLeft w:val="0"/>
      <w:marRight w:val="0"/>
      <w:marTop w:val="0"/>
      <w:marBottom w:val="0"/>
      <w:divBdr>
        <w:top w:val="none" w:sz="0" w:space="0" w:color="auto"/>
        <w:left w:val="none" w:sz="0" w:space="0" w:color="auto"/>
        <w:bottom w:val="none" w:sz="0" w:space="0" w:color="auto"/>
        <w:right w:val="none" w:sz="0" w:space="0" w:color="auto"/>
      </w:divBdr>
    </w:div>
    <w:div w:id="422721128">
      <w:bodyDiv w:val="1"/>
      <w:marLeft w:val="0"/>
      <w:marRight w:val="0"/>
      <w:marTop w:val="0"/>
      <w:marBottom w:val="0"/>
      <w:divBdr>
        <w:top w:val="none" w:sz="0" w:space="0" w:color="auto"/>
        <w:left w:val="none" w:sz="0" w:space="0" w:color="auto"/>
        <w:bottom w:val="none" w:sz="0" w:space="0" w:color="auto"/>
        <w:right w:val="none" w:sz="0" w:space="0" w:color="auto"/>
      </w:divBdr>
    </w:div>
    <w:div w:id="504588579">
      <w:bodyDiv w:val="1"/>
      <w:marLeft w:val="0"/>
      <w:marRight w:val="0"/>
      <w:marTop w:val="0"/>
      <w:marBottom w:val="0"/>
      <w:divBdr>
        <w:top w:val="none" w:sz="0" w:space="0" w:color="auto"/>
        <w:left w:val="none" w:sz="0" w:space="0" w:color="auto"/>
        <w:bottom w:val="none" w:sz="0" w:space="0" w:color="auto"/>
        <w:right w:val="none" w:sz="0" w:space="0" w:color="auto"/>
      </w:divBdr>
    </w:div>
    <w:div w:id="647898798">
      <w:bodyDiv w:val="1"/>
      <w:marLeft w:val="0"/>
      <w:marRight w:val="0"/>
      <w:marTop w:val="0"/>
      <w:marBottom w:val="0"/>
      <w:divBdr>
        <w:top w:val="none" w:sz="0" w:space="0" w:color="auto"/>
        <w:left w:val="none" w:sz="0" w:space="0" w:color="auto"/>
        <w:bottom w:val="none" w:sz="0" w:space="0" w:color="auto"/>
        <w:right w:val="none" w:sz="0" w:space="0" w:color="auto"/>
      </w:divBdr>
    </w:div>
    <w:div w:id="715204467">
      <w:bodyDiv w:val="1"/>
      <w:marLeft w:val="0"/>
      <w:marRight w:val="0"/>
      <w:marTop w:val="0"/>
      <w:marBottom w:val="0"/>
      <w:divBdr>
        <w:top w:val="none" w:sz="0" w:space="0" w:color="auto"/>
        <w:left w:val="none" w:sz="0" w:space="0" w:color="auto"/>
        <w:bottom w:val="none" w:sz="0" w:space="0" w:color="auto"/>
        <w:right w:val="none" w:sz="0" w:space="0" w:color="auto"/>
      </w:divBdr>
    </w:div>
    <w:div w:id="806170821">
      <w:bodyDiv w:val="1"/>
      <w:marLeft w:val="0"/>
      <w:marRight w:val="0"/>
      <w:marTop w:val="0"/>
      <w:marBottom w:val="0"/>
      <w:divBdr>
        <w:top w:val="none" w:sz="0" w:space="0" w:color="auto"/>
        <w:left w:val="none" w:sz="0" w:space="0" w:color="auto"/>
        <w:bottom w:val="none" w:sz="0" w:space="0" w:color="auto"/>
        <w:right w:val="none" w:sz="0" w:space="0" w:color="auto"/>
      </w:divBdr>
    </w:div>
    <w:div w:id="837841403">
      <w:bodyDiv w:val="1"/>
      <w:marLeft w:val="0"/>
      <w:marRight w:val="0"/>
      <w:marTop w:val="0"/>
      <w:marBottom w:val="0"/>
      <w:divBdr>
        <w:top w:val="none" w:sz="0" w:space="0" w:color="auto"/>
        <w:left w:val="none" w:sz="0" w:space="0" w:color="auto"/>
        <w:bottom w:val="none" w:sz="0" w:space="0" w:color="auto"/>
        <w:right w:val="none" w:sz="0" w:space="0" w:color="auto"/>
      </w:divBdr>
    </w:div>
    <w:div w:id="865950569">
      <w:bodyDiv w:val="1"/>
      <w:marLeft w:val="0"/>
      <w:marRight w:val="0"/>
      <w:marTop w:val="0"/>
      <w:marBottom w:val="0"/>
      <w:divBdr>
        <w:top w:val="none" w:sz="0" w:space="0" w:color="auto"/>
        <w:left w:val="none" w:sz="0" w:space="0" w:color="auto"/>
        <w:bottom w:val="none" w:sz="0" w:space="0" w:color="auto"/>
        <w:right w:val="none" w:sz="0" w:space="0" w:color="auto"/>
      </w:divBdr>
    </w:div>
    <w:div w:id="989678414">
      <w:bodyDiv w:val="1"/>
      <w:marLeft w:val="0"/>
      <w:marRight w:val="0"/>
      <w:marTop w:val="0"/>
      <w:marBottom w:val="0"/>
      <w:divBdr>
        <w:top w:val="none" w:sz="0" w:space="0" w:color="auto"/>
        <w:left w:val="none" w:sz="0" w:space="0" w:color="auto"/>
        <w:bottom w:val="none" w:sz="0" w:space="0" w:color="auto"/>
        <w:right w:val="none" w:sz="0" w:space="0" w:color="auto"/>
      </w:divBdr>
    </w:div>
    <w:div w:id="1183789122">
      <w:bodyDiv w:val="1"/>
      <w:marLeft w:val="0"/>
      <w:marRight w:val="0"/>
      <w:marTop w:val="0"/>
      <w:marBottom w:val="0"/>
      <w:divBdr>
        <w:top w:val="none" w:sz="0" w:space="0" w:color="auto"/>
        <w:left w:val="none" w:sz="0" w:space="0" w:color="auto"/>
        <w:bottom w:val="none" w:sz="0" w:space="0" w:color="auto"/>
        <w:right w:val="none" w:sz="0" w:space="0" w:color="auto"/>
      </w:divBdr>
    </w:div>
    <w:div w:id="1259604760">
      <w:bodyDiv w:val="1"/>
      <w:marLeft w:val="0"/>
      <w:marRight w:val="0"/>
      <w:marTop w:val="0"/>
      <w:marBottom w:val="0"/>
      <w:divBdr>
        <w:top w:val="none" w:sz="0" w:space="0" w:color="auto"/>
        <w:left w:val="none" w:sz="0" w:space="0" w:color="auto"/>
        <w:bottom w:val="none" w:sz="0" w:space="0" w:color="auto"/>
        <w:right w:val="none" w:sz="0" w:space="0" w:color="auto"/>
      </w:divBdr>
    </w:div>
    <w:div w:id="1479609472">
      <w:bodyDiv w:val="1"/>
      <w:marLeft w:val="0"/>
      <w:marRight w:val="0"/>
      <w:marTop w:val="0"/>
      <w:marBottom w:val="0"/>
      <w:divBdr>
        <w:top w:val="none" w:sz="0" w:space="0" w:color="auto"/>
        <w:left w:val="none" w:sz="0" w:space="0" w:color="auto"/>
        <w:bottom w:val="none" w:sz="0" w:space="0" w:color="auto"/>
        <w:right w:val="none" w:sz="0" w:space="0" w:color="auto"/>
      </w:divBdr>
    </w:div>
    <w:div w:id="1488395359">
      <w:bodyDiv w:val="1"/>
      <w:marLeft w:val="0"/>
      <w:marRight w:val="0"/>
      <w:marTop w:val="0"/>
      <w:marBottom w:val="0"/>
      <w:divBdr>
        <w:top w:val="none" w:sz="0" w:space="0" w:color="auto"/>
        <w:left w:val="none" w:sz="0" w:space="0" w:color="auto"/>
        <w:bottom w:val="none" w:sz="0" w:space="0" w:color="auto"/>
        <w:right w:val="none" w:sz="0" w:space="0" w:color="auto"/>
      </w:divBdr>
    </w:div>
    <w:div w:id="1573541397">
      <w:bodyDiv w:val="1"/>
      <w:marLeft w:val="0"/>
      <w:marRight w:val="0"/>
      <w:marTop w:val="0"/>
      <w:marBottom w:val="0"/>
      <w:divBdr>
        <w:top w:val="none" w:sz="0" w:space="0" w:color="auto"/>
        <w:left w:val="none" w:sz="0" w:space="0" w:color="auto"/>
        <w:bottom w:val="none" w:sz="0" w:space="0" w:color="auto"/>
        <w:right w:val="none" w:sz="0" w:space="0" w:color="auto"/>
      </w:divBdr>
    </w:div>
    <w:div w:id="1819150688">
      <w:bodyDiv w:val="1"/>
      <w:marLeft w:val="0"/>
      <w:marRight w:val="0"/>
      <w:marTop w:val="0"/>
      <w:marBottom w:val="0"/>
      <w:divBdr>
        <w:top w:val="none" w:sz="0" w:space="0" w:color="auto"/>
        <w:left w:val="none" w:sz="0" w:space="0" w:color="auto"/>
        <w:bottom w:val="none" w:sz="0" w:space="0" w:color="auto"/>
        <w:right w:val="none" w:sz="0" w:space="0" w:color="auto"/>
      </w:divBdr>
    </w:div>
    <w:div w:id="1916089441">
      <w:bodyDiv w:val="1"/>
      <w:marLeft w:val="0"/>
      <w:marRight w:val="0"/>
      <w:marTop w:val="0"/>
      <w:marBottom w:val="0"/>
      <w:divBdr>
        <w:top w:val="none" w:sz="0" w:space="0" w:color="auto"/>
        <w:left w:val="none" w:sz="0" w:space="0" w:color="auto"/>
        <w:bottom w:val="none" w:sz="0" w:space="0" w:color="auto"/>
        <w:right w:val="none" w:sz="0" w:space="0" w:color="auto"/>
      </w:divBdr>
    </w:div>
    <w:div w:id="2037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ca.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PP\Templates\Acquisition_Templates\Solicitation%20Amendment\Solicitation%20Amendment-7.14.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4774BB3FC49B7ACF88227385FEE6F"/>
        <w:category>
          <w:name w:val="General"/>
          <w:gallery w:val="placeholder"/>
        </w:category>
        <w:types>
          <w:type w:val="bbPlcHdr"/>
        </w:types>
        <w:behaviors>
          <w:behavior w:val="content"/>
        </w:behaviors>
        <w:guid w:val="{E1B7B32F-20F7-49CD-A10C-FEF2479693AC}"/>
      </w:docPartPr>
      <w:docPartBody>
        <w:p w:rsidR="007549A8" w:rsidRDefault="000563BB">
          <w:pPr>
            <w:pStyle w:val="F094774BB3FC49B7ACF88227385FEE6F"/>
          </w:pPr>
          <w:r w:rsidRPr="004F14C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A8"/>
    <w:rsid w:val="000563BB"/>
    <w:rsid w:val="0075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94774BB3FC49B7ACF88227385FEE6F">
    <w:name w:val="F094774BB3FC49B7ACF88227385FE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EF74-FC90-4B46-AA7E-B1CD3525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Solicitation Amendment-7.14.20</Template>
  <TotalTime>65</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Solicitation Amendment</vt:lpstr>
    </vt:vector>
  </TitlesOfParts>
  <Company>General Administration</Company>
  <LinksUpToDate>false</LinksUpToDate>
  <CharactersWithSpaces>7334</CharactersWithSpaces>
  <SharedDoc>false</SharedDoc>
  <HLinks>
    <vt:vector size="6" baseType="variant">
      <vt:variant>
        <vt:i4>3080295</vt:i4>
      </vt:variant>
      <vt:variant>
        <vt:i4>5</vt:i4>
      </vt:variant>
      <vt:variant>
        <vt:i4>0</vt:i4>
      </vt:variant>
      <vt:variant>
        <vt:i4>5</vt:i4>
      </vt:variant>
      <vt:variant>
        <vt:lpwstr>http://www.liq.wa.gov/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Amendment</dc:title>
  <dc:creator>Ledesma, Mayra (HCA)</dc:creator>
  <cp:lastModifiedBy>Ledesma, Mayra (HCA)</cp:lastModifiedBy>
  <cp:revision>4</cp:revision>
  <cp:lastPrinted>2020-04-03T00:05:00Z</cp:lastPrinted>
  <dcterms:created xsi:type="dcterms:W3CDTF">2020-08-18T21:12:00Z</dcterms:created>
  <dcterms:modified xsi:type="dcterms:W3CDTF">2020-08-18T23:58:00Z</dcterms:modified>
</cp:coreProperties>
</file>