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65" w:rsidRDefault="00687033" w:rsidP="00687033">
      <w:pPr>
        <w:ind w:left="-180"/>
        <w:jc w:val="center"/>
        <w:rPr>
          <w:color w:val="548DD4" w:themeColor="text2" w:themeTint="99"/>
        </w:rPr>
      </w:pPr>
      <w:bookmarkStart w:id="0" w:name="_GoBack"/>
      <w:bookmarkEnd w:id="0"/>
      <w:r w:rsidRPr="006045F3">
        <w:rPr>
          <w:color w:val="0070C0"/>
        </w:rPr>
        <w:t>INSERT AGENCY LETTERHEAD</w:t>
      </w:r>
    </w:p>
    <w:p w:rsidR="00D40465" w:rsidRDefault="00D40465" w:rsidP="00D40465">
      <w:pPr>
        <w:ind w:left="-180"/>
        <w:rPr>
          <w:color w:val="548DD4" w:themeColor="text2" w:themeTint="99"/>
        </w:rPr>
      </w:pPr>
      <w:r w:rsidRPr="0092798D">
        <w:rPr>
          <w:color w:val="548DD4" w:themeColor="text2" w:themeTint="99"/>
        </w:rPr>
        <w:t>MM/DD/YYYY</w:t>
      </w:r>
    </w:p>
    <w:p w:rsidR="00237E2D" w:rsidRDefault="00237E2D" w:rsidP="00D40465">
      <w:pPr>
        <w:ind w:left="-180"/>
      </w:pPr>
    </w:p>
    <w:p w:rsidR="00237E2D" w:rsidRDefault="00237E2D" w:rsidP="00D40465">
      <w:pPr>
        <w:ind w:left="-180"/>
        <w:rPr>
          <w:color w:val="0070C0"/>
        </w:rPr>
      </w:pPr>
      <w:r>
        <w:t xml:space="preserve">Dear </w:t>
      </w:r>
      <w:r w:rsidR="00D40465">
        <w:rPr>
          <w:color w:val="0070C0"/>
        </w:rPr>
        <w:t>NAME,</w:t>
      </w:r>
    </w:p>
    <w:p w:rsidR="00CB1318" w:rsidRDefault="00CB1318" w:rsidP="00D40465">
      <w:pPr>
        <w:ind w:left="-180"/>
      </w:pPr>
    </w:p>
    <w:p w:rsidR="00D35FFC" w:rsidRDefault="00237E2D" w:rsidP="00D40465">
      <w:pPr>
        <w:ind w:left="-180"/>
      </w:pPr>
      <w:r>
        <w:t xml:space="preserve">During a retrospective review of your eligibility for PEBB </w:t>
      </w:r>
      <w:r w:rsidR="00622B9F">
        <w:t>insurance,</w:t>
      </w:r>
      <w:r>
        <w:t xml:space="preserve"> </w:t>
      </w:r>
      <w:r w:rsidR="00622B9F">
        <w:t>we</w:t>
      </w:r>
      <w:r>
        <w:t xml:space="preserve"> discovered that </w:t>
      </w:r>
      <w:r w:rsidR="00D62847">
        <w:t>you completed an enrollment form</w:t>
      </w:r>
      <w:r w:rsidR="00622B9F">
        <w:t xml:space="preserve"> and or tobacco change form</w:t>
      </w:r>
      <w:r w:rsidR="00D62847">
        <w:t xml:space="preserve"> and submitted </w:t>
      </w:r>
      <w:r w:rsidR="00622B9F">
        <w:t>it to our office</w:t>
      </w:r>
      <w:r w:rsidR="00D40465">
        <w:t xml:space="preserve"> on </w:t>
      </w:r>
      <w:r w:rsidR="00D40465" w:rsidRPr="0092798D">
        <w:rPr>
          <w:color w:val="548DD4" w:themeColor="text2" w:themeTint="99"/>
        </w:rPr>
        <w:t>MM/DD/YYYY</w:t>
      </w:r>
      <w:r w:rsidR="00622B9F">
        <w:t xml:space="preserve">.  Your form attested </w:t>
      </w:r>
      <w:r w:rsidR="00D7691B">
        <w:t xml:space="preserve">that you </w:t>
      </w:r>
      <w:r w:rsidR="00622B9F">
        <w:t>were</w:t>
      </w:r>
      <w:r w:rsidR="00D27A59">
        <w:t xml:space="preserve"> not a tobacco user and we failed to </w:t>
      </w:r>
      <w:r w:rsidR="00D40465">
        <w:t xml:space="preserve">correctly </w:t>
      </w:r>
      <w:r w:rsidR="00687033">
        <w:t xml:space="preserve">enter </w:t>
      </w:r>
      <w:r w:rsidR="00D27A59">
        <w:t xml:space="preserve">the </w:t>
      </w:r>
      <w:r w:rsidR="00622B9F">
        <w:t>information, which resulted</w:t>
      </w:r>
      <w:r w:rsidR="00D27A59">
        <w:t xml:space="preserve"> in surcharges </w:t>
      </w:r>
      <w:r w:rsidR="00D40465">
        <w:t>from</w:t>
      </w:r>
      <w:r w:rsidR="00D7691B">
        <w:t xml:space="preserve"> </w:t>
      </w:r>
      <w:r w:rsidR="00D40465" w:rsidRPr="0092798D">
        <w:rPr>
          <w:color w:val="548DD4" w:themeColor="text2" w:themeTint="99"/>
        </w:rPr>
        <w:t>MM/DD/YYYY</w:t>
      </w:r>
      <w:r w:rsidR="00D40465">
        <w:rPr>
          <w:color w:val="548DD4" w:themeColor="text2" w:themeTint="99"/>
        </w:rPr>
        <w:t xml:space="preserve"> </w:t>
      </w:r>
      <w:r w:rsidR="00D40465" w:rsidRPr="00D40465">
        <w:t>to</w:t>
      </w:r>
      <w:r w:rsidR="00D40465">
        <w:rPr>
          <w:color w:val="548DD4" w:themeColor="text2" w:themeTint="99"/>
        </w:rPr>
        <w:t xml:space="preserve"> </w:t>
      </w:r>
      <w:r w:rsidR="00D40465" w:rsidRPr="0092798D">
        <w:rPr>
          <w:color w:val="548DD4" w:themeColor="text2" w:themeTint="99"/>
        </w:rPr>
        <w:t>MM/DD/YYYY</w:t>
      </w:r>
      <w:r w:rsidR="00D40465" w:rsidRPr="00D40465">
        <w:t>.</w:t>
      </w:r>
      <w:r w:rsidR="00D62847">
        <w:t xml:space="preserve">  </w:t>
      </w:r>
      <w:r w:rsidR="00087B49">
        <w:t xml:space="preserve">  </w:t>
      </w:r>
    </w:p>
    <w:p w:rsidR="00622B9F" w:rsidRDefault="00237E2D" w:rsidP="00D40465">
      <w:pPr>
        <w:ind w:left="-180"/>
      </w:pPr>
      <w:r>
        <w:t xml:space="preserve">In order to correct the error, we </w:t>
      </w:r>
      <w:r w:rsidR="00D35FFC">
        <w:t xml:space="preserve">will </w:t>
      </w:r>
      <w:r w:rsidR="00622B9F">
        <w:t xml:space="preserve">refund </w:t>
      </w:r>
      <w:r w:rsidR="00687033">
        <w:t xml:space="preserve">the </w:t>
      </w:r>
      <w:r w:rsidR="00622B9F">
        <w:t>premium</w:t>
      </w:r>
      <w:r w:rsidR="00687033">
        <w:t xml:space="preserve"> surcharge</w:t>
      </w:r>
      <w:r w:rsidR="00622B9F">
        <w:t xml:space="preserve"> collected in error and </w:t>
      </w:r>
      <w:r w:rsidR="00087B49">
        <w:t xml:space="preserve">remove the surcharge back to </w:t>
      </w:r>
      <w:r w:rsidR="00D40465" w:rsidRPr="0092798D">
        <w:rPr>
          <w:color w:val="548DD4" w:themeColor="text2" w:themeTint="99"/>
        </w:rPr>
        <w:t>MM/DD/YYYY</w:t>
      </w:r>
      <w:r w:rsidR="00D40465">
        <w:rPr>
          <w:color w:val="548DD4" w:themeColor="text2" w:themeTint="99"/>
        </w:rPr>
        <w:t xml:space="preserve">, </w:t>
      </w:r>
      <w:r w:rsidR="007E1756">
        <w:t>as allowed through recourse</w:t>
      </w:r>
      <w:r w:rsidR="00130329">
        <w:t xml:space="preserve"> outlined below</w:t>
      </w:r>
      <w:r w:rsidR="007E1756">
        <w:t>. (WAC 182-08-187)</w:t>
      </w:r>
      <w:r w:rsidR="00087B49">
        <w:t>.</w:t>
      </w:r>
      <w:r w:rsidR="00D35FFC">
        <w:t xml:space="preserve"> If you do not agree with this </w:t>
      </w:r>
      <w:r w:rsidR="00622B9F">
        <w:t>decision or would like to pursue additional recourse,</w:t>
      </w:r>
      <w:r w:rsidR="00D35FFC">
        <w:t xml:space="preserve"> please contact us </w:t>
      </w:r>
      <w:r w:rsidR="00622B9F">
        <w:t xml:space="preserve">within 31 days from the date of this letter. Failure to respond will result in refund of </w:t>
      </w:r>
      <w:r w:rsidR="00B66F41">
        <w:t xml:space="preserve">the tobacco </w:t>
      </w:r>
      <w:r w:rsidR="00622B9F">
        <w:t>premium</w:t>
      </w:r>
      <w:r w:rsidR="00B66F41">
        <w:t xml:space="preserve"> surcharge</w:t>
      </w:r>
      <w:r w:rsidR="00622B9F">
        <w:t xml:space="preserve"> with no future right to additional recourse.</w:t>
      </w:r>
    </w:p>
    <w:p w:rsidR="000A0960" w:rsidRDefault="00130329" w:rsidP="00687033">
      <w:pPr>
        <w:ind w:left="-187"/>
      </w:pPr>
      <w:r w:rsidRPr="007E5BD8">
        <w:rPr>
          <w:b/>
        </w:rPr>
        <w:t>Recourse Options:</w:t>
      </w:r>
      <w:r w:rsidR="00D40465">
        <w:rPr>
          <w:b/>
        </w:rPr>
        <w:t xml:space="preserve">  </w:t>
      </w:r>
      <w:r>
        <w:t>When correcting enrollment errors, the employer must work with the employee and Health Care Authority to implement insurance coverage within the following parameter</w:t>
      </w:r>
      <w:r w:rsidR="000A0960">
        <w:t>(</w:t>
      </w:r>
      <w:r>
        <w:t>s</w:t>
      </w:r>
      <w:r w:rsidR="000A0960">
        <w:t>):</w:t>
      </w:r>
    </w:p>
    <w:p w:rsidR="00130329" w:rsidRDefault="00130329" w:rsidP="000A0960">
      <w:pPr>
        <w:pStyle w:val="ListParagraph"/>
        <w:numPr>
          <w:ilvl w:val="0"/>
          <w:numId w:val="1"/>
        </w:numPr>
        <w:spacing w:after="0"/>
        <w:ind w:left="0" w:hanging="180"/>
      </w:pPr>
      <w:r>
        <w:t xml:space="preserve">Retroactive enrollment in a PEBB health plan; </w:t>
      </w:r>
    </w:p>
    <w:p w:rsidR="00130329" w:rsidRDefault="00130329" w:rsidP="00CB1318">
      <w:pPr>
        <w:pStyle w:val="ListParagraph"/>
        <w:numPr>
          <w:ilvl w:val="0"/>
          <w:numId w:val="1"/>
        </w:numPr>
        <w:spacing w:after="0"/>
        <w:ind w:left="-180" w:firstLine="0"/>
        <w:contextualSpacing w:val="0"/>
      </w:pPr>
      <w:r>
        <w:t>Reimbursement of claims paid;</w:t>
      </w:r>
    </w:p>
    <w:p w:rsidR="00130329" w:rsidRDefault="00130329" w:rsidP="00CB1318">
      <w:pPr>
        <w:pStyle w:val="ListParagraph"/>
        <w:numPr>
          <w:ilvl w:val="0"/>
          <w:numId w:val="1"/>
        </w:numPr>
        <w:spacing w:after="0"/>
        <w:ind w:left="-180" w:firstLine="0"/>
        <w:contextualSpacing w:val="0"/>
      </w:pPr>
      <w:r>
        <w:t>Reimbursement of amounts paid for medical and dental premiums; or</w:t>
      </w:r>
    </w:p>
    <w:p w:rsidR="00130329" w:rsidRDefault="00130329" w:rsidP="00687033">
      <w:pPr>
        <w:pStyle w:val="ListParagraph"/>
        <w:numPr>
          <w:ilvl w:val="0"/>
          <w:numId w:val="1"/>
        </w:numPr>
        <w:ind w:left="-187" w:firstLine="0"/>
        <w:contextualSpacing w:val="0"/>
      </w:pPr>
      <w:r>
        <w:t>Other recourse, upon approval by Health Care Authority</w:t>
      </w:r>
    </w:p>
    <w:p w:rsidR="00130329" w:rsidRDefault="00130329" w:rsidP="00687033">
      <w:pPr>
        <w:ind w:left="-187"/>
      </w:pPr>
      <w:r w:rsidRPr="00D40465">
        <w:rPr>
          <w:b/>
        </w:rPr>
        <w:t>Recourse</w:t>
      </w:r>
      <w:r>
        <w:t xml:space="preserve"> must not contradict a specific provision of federal law or statute and does not apply to requests for non-covered services or in the case of an individual who is not eligible for PEBB benefits.</w:t>
      </w:r>
    </w:p>
    <w:p w:rsidR="00130329" w:rsidRDefault="00130329" w:rsidP="00D40465">
      <w:pPr>
        <w:spacing w:after="0"/>
        <w:ind w:left="-180"/>
      </w:pPr>
      <w:r w:rsidRPr="00D40465">
        <w:rPr>
          <w:b/>
        </w:rPr>
        <w:t>An employee</w:t>
      </w:r>
      <w:r>
        <w:t xml:space="preserve"> who does not agree with a recourse decision of the employing agency or the Health Care Authority may appeal the decision by submitting an appeal within 30 days as outlined in WAC 182-16.</w:t>
      </w:r>
    </w:p>
    <w:p w:rsidR="00D40465" w:rsidRDefault="00D40465" w:rsidP="00D40465">
      <w:pPr>
        <w:spacing w:after="0"/>
        <w:ind w:left="-180"/>
      </w:pPr>
      <w:r>
        <w:rPr>
          <w:b/>
        </w:rPr>
        <w:t>____________________________________________________________________________________________</w:t>
      </w:r>
    </w:p>
    <w:p w:rsidR="00AB4B8D" w:rsidRDefault="00AB4B8D" w:rsidP="00D40465">
      <w:pPr>
        <w:ind w:left="-180"/>
        <w:rPr>
          <w:b/>
        </w:rPr>
      </w:pPr>
    </w:p>
    <w:p w:rsidR="00D40465" w:rsidRPr="00C228A8" w:rsidRDefault="00D40465" w:rsidP="00D40465">
      <w:pPr>
        <w:ind w:left="-180"/>
        <w:rPr>
          <w:b/>
        </w:rPr>
      </w:pPr>
      <w:r>
        <w:rPr>
          <w:b/>
        </w:rPr>
        <w:t xml:space="preserve">Please </w:t>
      </w:r>
      <w:r w:rsidR="000A0960">
        <w:rPr>
          <w:b/>
        </w:rPr>
        <w:t>review</w:t>
      </w:r>
      <w:r w:rsidRPr="00C228A8">
        <w:rPr>
          <w:b/>
        </w:rPr>
        <w:t xml:space="preserve"> the response</w:t>
      </w:r>
      <w:r>
        <w:rPr>
          <w:b/>
        </w:rPr>
        <w:t>(s)</w:t>
      </w:r>
      <w:r w:rsidRPr="00C228A8">
        <w:rPr>
          <w:b/>
        </w:rPr>
        <w:t xml:space="preserve"> below</w:t>
      </w:r>
      <w:r>
        <w:rPr>
          <w:b/>
        </w:rPr>
        <w:t>;</w:t>
      </w:r>
      <w:r w:rsidRPr="00C228A8">
        <w:rPr>
          <w:b/>
        </w:rPr>
        <w:t xml:space="preserve"> sign</w:t>
      </w:r>
      <w:r>
        <w:rPr>
          <w:b/>
        </w:rPr>
        <w:t>,</w:t>
      </w:r>
      <w:r w:rsidRPr="00C228A8">
        <w:rPr>
          <w:b/>
        </w:rPr>
        <w:t xml:space="preserve"> date</w:t>
      </w:r>
      <w:r>
        <w:rPr>
          <w:b/>
        </w:rPr>
        <w:t xml:space="preserve"> and return</w:t>
      </w:r>
      <w:r w:rsidRPr="00C228A8">
        <w:rPr>
          <w:b/>
        </w:rPr>
        <w:t xml:space="preserve"> the letter confirming your request:</w:t>
      </w:r>
    </w:p>
    <w:p w:rsidR="00AB4B8D" w:rsidRPr="00CB1318" w:rsidRDefault="00AB4B8D" w:rsidP="00AB4B8D">
      <w:pPr>
        <w:ind w:left="-180"/>
      </w:pPr>
      <w:r>
        <w:t xml:space="preserve">I </w:t>
      </w:r>
      <w:r w:rsidR="007D3981">
        <w:t xml:space="preserve">understand </w:t>
      </w:r>
      <w:r>
        <w:t xml:space="preserve">the correction </w:t>
      </w:r>
      <w:r w:rsidR="000A0960">
        <w:t>of</w:t>
      </w:r>
      <w:r>
        <w:t xml:space="preserve"> my tobacco attestation</w:t>
      </w:r>
      <w:r w:rsidR="000A0960">
        <w:t>(s)</w:t>
      </w:r>
      <w:r w:rsidR="007D3981">
        <w:t xml:space="preserve"> will</w:t>
      </w:r>
      <w:r>
        <w:t xml:space="preserve"> effective</w:t>
      </w:r>
      <w:r w:rsidRPr="00AB4B8D">
        <w:rPr>
          <w:color w:val="548DD4" w:themeColor="text2" w:themeTint="99"/>
        </w:rPr>
        <w:t xml:space="preserve"> </w:t>
      </w:r>
      <w:r w:rsidRPr="0092798D">
        <w:rPr>
          <w:color w:val="548DD4" w:themeColor="text2" w:themeTint="99"/>
        </w:rPr>
        <w:t>MM/DD/YYYY</w:t>
      </w:r>
      <w:r>
        <w:rPr>
          <w:color w:val="548DD4" w:themeColor="text2" w:themeTint="99"/>
        </w:rPr>
        <w:t xml:space="preserve"> </w:t>
      </w:r>
      <w:r w:rsidRPr="00CB1318">
        <w:t xml:space="preserve">and </w:t>
      </w:r>
      <w:r w:rsidR="007D3981">
        <w:t>I will receive a</w:t>
      </w:r>
      <w:r w:rsidRPr="00CB1318">
        <w:t xml:space="preserve"> refund of surcharge premiums</w:t>
      </w:r>
      <w:r w:rsidR="000A0960">
        <w:t>,</w:t>
      </w:r>
      <w:r w:rsidRPr="00CB1318">
        <w:t xml:space="preserve"> collected in error</w:t>
      </w:r>
      <w:r w:rsidR="000A0960">
        <w:t>,</w:t>
      </w:r>
      <w:r w:rsidRPr="00CB1318">
        <w:t xml:space="preserve"> from </w:t>
      </w:r>
      <w:r w:rsidRPr="0092798D">
        <w:rPr>
          <w:color w:val="548DD4" w:themeColor="text2" w:themeTint="99"/>
        </w:rPr>
        <w:t>MM/DD/YYYY</w:t>
      </w:r>
      <w:r>
        <w:rPr>
          <w:color w:val="548DD4" w:themeColor="text2" w:themeTint="99"/>
        </w:rPr>
        <w:t xml:space="preserve"> </w:t>
      </w:r>
      <w:r w:rsidRPr="00D40465">
        <w:t>to</w:t>
      </w:r>
      <w:r>
        <w:rPr>
          <w:color w:val="548DD4" w:themeColor="text2" w:themeTint="99"/>
        </w:rPr>
        <w:t xml:space="preserve"> </w:t>
      </w:r>
      <w:r w:rsidRPr="0092798D">
        <w:rPr>
          <w:color w:val="548DD4" w:themeColor="text2" w:themeTint="99"/>
        </w:rPr>
        <w:t>MM/DD/YYYY</w:t>
      </w:r>
      <w:r w:rsidRPr="000A0960">
        <w:t xml:space="preserve">.  </w:t>
      </w:r>
      <w:r w:rsidRPr="00CB1318">
        <w:t xml:space="preserve">  </w:t>
      </w:r>
    </w:p>
    <w:p w:rsidR="00D40465" w:rsidRPr="004E784B" w:rsidRDefault="00D40465" w:rsidP="00D40465">
      <w:pPr>
        <w:ind w:left="-180"/>
        <w:rPr>
          <w:b/>
        </w:rPr>
      </w:pPr>
      <w:r>
        <w:t xml:space="preserve"> </w:t>
      </w:r>
      <w:r w:rsidR="000A0960">
        <w:rPr>
          <w:b/>
        </w:rPr>
        <w:t>Recourse Option Request:</w:t>
      </w:r>
    </w:p>
    <w:p w:rsidR="00D40465" w:rsidRDefault="00160AD4" w:rsidP="00D40465">
      <w:pPr>
        <w:ind w:left="-180"/>
      </w:pPr>
      <w:sdt>
        <w:sdt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>
            <w:rPr>
              <w:rFonts w:ascii="MS Gothic" w:eastAsia="MS Gothic" w:hAnsi="MS Gothic" w:hint="eastAsia"/>
            </w:rPr>
            <w:t>☐</w:t>
          </w:r>
        </w:sdtContent>
      </w:sdt>
      <w:r w:rsidR="00D40465">
        <w:t xml:space="preserve">        I do not choose to pursue any recourse.  </w:t>
      </w:r>
    </w:p>
    <w:p w:rsidR="00D40465" w:rsidRPr="00325D21" w:rsidRDefault="00160AD4" w:rsidP="00D40465">
      <w:pPr>
        <w:tabs>
          <w:tab w:val="left" w:pos="450"/>
        </w:tabs>
        <w:ind w:left="-180"/>
        <w:rPr>
          <w:u w:val="single"/>
        </w:rPr>
      </w:pPr>
      <w:sdt>
        <w:sdtPr>
          <w:id w:val="164808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65">
            <w:rPr>
              <w:rFonts w:ascii="MS Gothic" w:eastAsia="MS Gothic" w:hAnsi="MS Gothic" w:hint="eastAsia"/>
            </w:rPr>
            <w:t>☐</w:t>
          </w:r>
        </w:sdtContent>
      </w:sdt>
      <w:r w:rsidR="00D40465">
        <w:tab/>
        <w:t>I choose to pursue the following recourse:  _____________________________________________________________________________</w:t>
      </w:r>
      <w:r w:rsidR="00687033">
        <w:t>__</w:t>
      </w:r>
      <w:r w:rsidR="00D40465">
        <w:t>_</w:t>
      </w:r>
      <w:r w:rsidR="00D40465">
        <w:softHyphen/>
      </w:r>
      <w:r w:rsidR="00D40465">
        <w:softHyphen/>
      </w:r>
      <w:r w:rsidR="00D40465">
        <w:softHyphen/>
        <w:t>__</w:t>
      </w:r>
      <w:r w:rsidR="00D40465">
        <w:softHyphen/>
      </w:r>
      <w:r w:rsidR="00D40465">
        <w:softHyphen/>
      </w:r>
      <w:r w:rsidR="00D40465">
        <w:softHyphen/>
      </w:r>
      <w:r w:rsidR="00D40465">
        <w:softHyphen/>
        <w:t>___________</w:t>
      </w:r>
      <w:r w:rsidR="00D40465" w:rsidRPr="00473600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="00687033" w:rsidRPr="00687033">
        <w:t>_</w:t>
      </w:r>
      <w:r w:rsidR="00D40465" w:rsidRPr="00866A33">
        <w:t>___________________________________________________________________________</w:t>
      </w:r>
      <w:r w:rsidR="00D40465">
        <w:t>______________</w:t>
      </w:r>
      <w:r w:rsidR="00D40465" w:rsidRPr="00866A33">
        <w:t>___________________________________________________________</w:t>
      </w:r>
      <w:r w:rsidR="00687033">
        <w:t>______</w:t>
      </w:r>
      <w:r w:rsidR="00D40465" w:rsidRPr="00866A33">
        <w:t>_________________</w:t>
      </w:r>
      <w:r w:rsidR="00D40465">
        <w:t>______________.</w:t>
      </w:r>
      <w:r w:rsidR="00D40465" w:rsidRPr="009D00E4">
        <w:t xml:space="preserve">                                                                                                                                                                               </w:t>
      </w:r>
    </w:p>
    <w:p w:rsidR="00D40465" w:rsidRPr="00D01C5B" w:rsidRDefault="00D40465" w:rsidP="00D40465">
      <w:pPr>
        <w:ind w:left="-180"/>
      </w:pPr>
      <w:r>
        <w:t>Employee Signature:</w:t>
      </w:r>
      <w:r w:rsidR="00687033">
        <w:t xml:space="preserve"> </w:t>
      </w:r>
      <w:r w:rsidR="00687033">
        <w:softHyphen/>
      </w:r>
      <w:r w:rsidR="00687033">
        <w:softHyphen/>
        <w:t xml:space="preserve">_________________________________________________ </w:t>
      </w:r>
      <w:r>
        <w:t>Date:  ________</w:t>
      </w:r>
      <w:r w:rsidR="00AB4B8D">
        <w:t>________</w:t>
      </w:r>
      <w:r>
        <w:t>___</w:t>
      </w:r>
    </w:p>
    <w:p w:rsidR="00D40465" w:rsidRDefault="00D40465" w:rsidP="00D40465">
      <w:pPr>
        <w:spacing w:after="80"/>
        <w:ind w:left="-180"/>
      </w:pPr>
    </w:p>
    <w:p w:rsidR="00D40465" w:rsidRDefault="00D40465" w:rsidP="00D40465">
      <w:pPr>
        <w:spacing w:after="80"/>
        <w:ind w:left="-180"/>
      </w:pPr>
      <w:r>
        <w:t>Sincerely,</w:t>
      </w:r>
    </w:p>
    <w:p w:rsidR="00AB4B8D" w:rsidRDefault="00D40465" w:rsidP="00D40465">
      <w:pPr>
        <w:spacing w:after="80"/>
        <w:ind w:left="-180"/>
        <w:rPr>
          <w:color w:val="0070C0"/>
        </w:rPr>
      </w:pPr>
      <w:r w:rsidRPr="006045F3">
        <w:rPr>
          <w:color w:val="0070C0"/>
        </w:rPr>
        <w:t>AGENCY SIGNATURE</w:t>
      </w:r>
    </w:p>
    <w:p w:rsidR="00D40465" w:rsidRDefault="00D40465" w:rsidP="00687033">
      <w:pPr>
        <w:spacing w:after="80"/>
        <w:ind w:left="-180"/>
        <w:rPr>
          <w:noProof/>
        </w:rPr>
      </w:pPr>
      <w:r w:rsidRPr="006045F3">
        <w:rPr>
          <w:color w:val="0070C0"/>
        </w:rPr>
        <w:t>BLOCK</w:t>
      </w:r>
    </w:p>
    <w:p w:rsidR="00D40465" w:rsidRDefault="00D40465" w:rsidP="00D40465">
      <w:pPr>
        <w:rPr>
          <w:noProof/>
        </w:rPr>
      </w:pPr>
    </w:p>
    <w:p w:rsidR="00237E2D" w:rsidRDefault="00237E2D" w:rsidP="00D40465">
      <w:pPr>
        <w:ind w:left="360" w:hanging="360"/>
      </w:pPr>
    </w:p>
    <w:sectPr w:rsidR="00237E2D" w:rsidSect="00CB1318"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46D8"/>
    <w:multiLevelType w:val="hybridMultilevel"/>
    <w:tmpl w:val="A5426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2D"/>
    <w:rsid w:val="000420C4"/>
    <w:rsid w:val="00052606"/>
    <w:rsid w:val="00074793"/>
    <w:rsid w:val="00087B49"/>
    <w:rsid w:val="000A0960"/>
    <w:rsid w:val="000E2E55"/>
    <w:rsid w:val="00104B67"/>
    <w:rsid w:val="00130329"/>
    <w:rsid w:val="001313E0"/>
    <w:rsid w:val="00160AD4"/>
    <w:rsid w:val="001A3571"/>
    <w:rsid w:val="001B298A"/>
    <w:rsid w:val="00223954"/>
    <w:rsid w:val="00237E2D"/>
    <w:rsid w:val="002B1F99"/>
    <w:rsid w:val="00372DED"/>
    <w:rsid w:val="004611EC"/>
    <w:rsid w:val="004D2C9B"/>
    <w:rsid w:val="00571C4A"/>
    <w:rsid w:val="00622B9F"/>
    <w:rsid w:val="00675A2F"/>
    <w:rsid w:val="00687033"/>
    <w:rsid w:val="006F2AA2"/>
    <w:rsid w:val="00717B51"/>
    <w:rsid w:val="00725185"/>
    <w:rsid w:val="007D3981"/>
    <w:rsid w:val="007E1756"/>
    <w:rsid w:val="00802AF9"/>
    <w:rsid w:val="008365EC"/>
    <w:rsid w:val="009056D8"/>
    <w:rsid w:val="00985B02"/>
    <w:rsid w:val="009E46F9"/>
    <w:rsid w:val="00A56BB9"/>
    <w:rsid w:val="00AB4B8D"/>
    <w:rsid w:val="00B4496D"/>
    <w:rsid w:val="00B60066"/>
    <w:rsid w:val="00B66F41"/>
    <w:rsid w:val="00B90B3B"/>
    <w:rsid w:val="00BB34B9"/>
    <w:rsid w:val="00CB1318"/>
    <w:rsid w:val="00D27A59"/>
    <w:rsid w:val="00D35FFC"/>
    <w:rsid w:val="00D40465"/>
    <w:rsid w:val="00D41569"/>
    <w:rsid w:val="00D62847"/>
    <w:rsid w:val="00D7691B"/>
    <w:rsid w:val="00EC68FD"/>
    <w:rsid w:val="00F0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7D853-6958-4FC3-975D-23AA172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13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Dixon-Ross, Jeff  (HCA)</cp:lastModifiedBy>
  <cp:revision>2</cp:revision>
  <dcterms:created xsi:type="dcterms:W3CDTF">2019-03-20T15:09:00Z</dcterms:created>
  <dcterms:modified xsi:type="dcterms:W3CDTF">2019-03-20T15:09:00Z</dcterms:modified>
  <cp:contentStatus/>
</cp:coreProperties>
</file>