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815" w:type="dxa"/>
        <w:tblLook w:val="04A0" w:firstRow="1" w:lastRow="0" w:firstColumn="1" w:lastColumn="0" w:noHBand="0" w:noVBand="1"/>
      </w:tblPr>
      <w:tblGrid>
        <w:gridCol w:w="1530"/>
        <w:gridCol w:w="9450"/>
      </w:tblGrid>
      <w:tr w:rsidR="00D97131" w14:paraId="033B0FC9" w14:textId="77777777" w:rsidTr="00305671">
        <w:tc>
          <w:tcPr>
            <w:tcW w:w="1530" w:type="dxa"/>
          </w:tcPr>
          <w:p w14:paraId="350FE8A2" w14:textId="77777777" w:rsidR="00D97131" w:rsidRDefault="00D97131"/>
        </w:tc>
        <w:tc>
          <w:tcPr>
            <w:tcW w:w="9450" w:type="dxa"/>
          </w:tcPr>
          <w:p w14:paraId="7909ACE7" w14:textId="125CEC84" w:rsidR="00D97131" w:rsidRPr="00BE12AD" w:rsidRDefault="00D97131" w:rsidP="00D97131">
            <w:pPr>
              <w:spacing w:after="160" w:line="259" w:lineRule="auto"/>
              <w:contextualSpacing/>
              <w:textAlignment w:val="center"/>
              <w:rPr>
                <w:rFonts w:cs="Arial"/>
                <w:sz w:val="20"/>
                <w:szCs w:val="20"/>
              </w:rPr>
            </w:pPr>
            <w:r w:rsidRPr="009711F0">
              <w:rPr>
                <w:rFonts w:cs="Arial"/>
                <w:bCs/>
                <w:spacing w:val="5"/>
                <w:sz w:val="20"/>
                <w:szCs w:val="20"/>
              </w:rPr>
              <w:t xml:space="preserve">Explain how the </w:t>
            </w:r>
            <w:r w:rsidR="00BA0A37" w:rsidRPr="009711F0">
              <w:rPr>
                <w:rFonts w:cs="Arial"/>
                <w:bCs/>
                <w:spacing w:val="5"/>
                <w:sz w:val="20"/>
                <w:szCs w:val="20"/>
              </w:rPr>
              <w:t xml:space="preserve">Trueblood </w:t>
            </w:r>
            <w:r w:rsidRPr="009711F0">
              <w:rPr>
                <w:rFonts w:cs="Arial"/>
                <w:bCs/>
                <w:spacing w:val="5"/>
                <w:sz w:val="20"/>
                <w:szCs w:val="20"/>
              </w:rPr>
              <w:t>enhancements</w:t>
            </w:r>
            <w:r w:rsidR="00BA0A37" w:rsidRPr="009711F0">
              <w:rPr>
                <w:rFonts w:cs="Arial"/>
                <w:bCs/>
                <w:spacing w:val="5"/>
                <w:sz w:val="20"/>
                <w:szCs w:val="20"/>
              </w:rPr>
              <w:t xml:space="preserve"> funds</w:t>
            </w:r>
            <w:r w:rsidR="00BE12AD" w:rsidRPr="009711F0">
              <w:rPr>
                <w:rFonts w:cs="Arial"/>
                <w:bCs/>
                <w:spacing w:val="5"/>
                <w:sz w:val="20"/>
                <w:szCs w:val="20"/>
              </w:rPr>
              <w:t xml:space="preserve"> provided in</w:t>
            </w:r>
            <w:r w:rsidRPr="009711F0">
              <w:rPr>
                <w:rFonts w:cs="Arial"/>
                <w:bCs/>
                <w:spacing w:val="5"/>
                <w:sz w:val="20"/>
                <w:szCs w:val="20"/>
              </w:rPr>
              <w:t xml:space="preserve"> this contract meet the objectives submitted in the BH-ASO approved plan to enhance and expand existing MCR </w:t>
            </w:r>
            <w:r w:rsidR="00BA0A37" w:rsidRPr="009711F0">
              <w:rPr>
                <w:rFonts w:cs="Arial"/>
                <w:bCs/>
                <w:spacing w:val="5"/>
                <w:sz w:val="20"/>
                <w:szCs w:val="20"/>
              </w:rPr>
              <w:t>services?</w:t>
            </w:r>
          </w:p>
        </w:tc>
      </w:tr>
      <w:tr w:rsidR="00D97131" w14:paraId="3A816E9C" w14:textId="77777777" w:rsidTr="00305671">
        <w:trPr>
          <w:trHeight w:val="1547"/>
        </w:trPr>
        <w:tc>
          <w:tcPr>
            <w:tcW w:w="1530" w:type="dxa"/>
          </w:tcPr>
          <w:p w14:paraId="0BD93ADC" w14:textId="77777777" w:rsidR="00D97131" w:rsidRDefault="00D97131"/>
        </w:tc>
        <w:tc>
          <w:tcPr>
            <w:tcW w:w="9450" w:type="dxa"/>
          </w:tcPr>
          <w:p w14:paraId="1DE9C640" w14:textId="77777777" w:rsidR="00D97131" w:rsidRDefault="00D97131">
            <w:pPr>
              <w:rPr>
                <w:rFonts w:cs="Arial"/>
                <w:sz w:val="20"/>
                <w:szCs w:val="20"/>
              </w:rPr>
            </w:pPr>
          </w:p>
          <w:p w14:paraId="589656F4" w14:textId="77777777" w:rsidR="00C46ABB" w:rsidRDefault="00C46ABB">
            <w:pPr>
              <w:rPr>
                <w:rFonts w:cs="Arial"/>
                <w:sz w:val="20"/>
                <w:szCs w:val="20"/>
              </w:rPr>
            </w:pPr>
          </w:p>
          <w:p w14:paraId="356D3B1C" w14:textId="6BC0A567" w:rsidR="00C46ABB" w:rsidRPr="00BE12AD" w:rsidRDefault="00C46ABB">
            <w:pPr>
              <w:rPr>
                <w:rFonts w:cs="Arial"/>
                <w:sz w:val="20"/>
                <w:szCs w:val="20"/>
              </w:rPr>
            </w:pPr>
          </w:p>
        </w:tc>
      </w:tr>
      <w:tr w:rsidR="00D97131" w14:paraId="1BC68D7B" w14:textId="77777777" w:rsidTr="00305671">
        <w:tc>
          <w:tcPr>
            <w:tcW w:w="1530" w:type="dxa"/>
          </w:tcPr>
          <w:p w14:paraId="127D3921" w14:textId="77777777" w:rsidR="00D97131" w:rsidRDefault="00D97131"/>
        </w:tc>
        <w:tc>
          <w:tcPr>
            <w:tcW w:w="9450" w:type="dxa"/>
          </w:tcPr>
          <w:p w14:paraId="114EEC29" w14:textId="42593C1C" w:rsidR="00D97131" w:rsidRPr="00BE12AD" w:rsidRDefault="00BA0A37">
            <w:pPr>
              <w:rPr>
                <w:rFonts w:cs="Arial"/>
                <w:sz w:val="20"/>
                <w:szCs w:val="20"/>
              </w:rPr>
            </w:pPr>
            <w:r w:rsidRPr="009711F0">
              <w:rPr>
                <w:rFonts w:cs="Arial"/>
                <w:sz w:val="20"/>
                <w:szCs w:val="20"/>
              </w:rPr>
              <w:t>Explain how enhanced funding MCR are coordinating efforts with Co-responders / first responder to reduce and divert arrest and provide a least restrictive alternative</w:t>
            </w:r>
            <w:r w:rsidR="00EB124A">
              <w:rPr>
                <w:rFonts w:cs="Arial"/>
                <w:sz w:val="20"/>
                <w:szCs w:val="20"/>
              </w:rPr>
              <w:t>.</w:t>
            </w:r>
          </w:p>
        </w:tc>
      </w:tr>
      <w:tr w:rsidR="00D97131" w14:paraId="74B8434E" w14:textId="77777777" w:rsidTr="00305671">
        <w:trPr>
          <w:trHeight w:val="1727"/>
        </w:trPr>
        <w:tc>
          <w:tcPr>
            <w:tcW w:w="1530" w:type="dxa"/>
          </w:tcPr>
          <w:p w14:paraId="2B2E5E15" w14:textId="77777777" w:rsidR="00D97131" w:rsidRDefault="00D97131"/>
        </w:tc>
        <w:tc>
          <w:tcPr>
            <w:tcW w:w="9450" w:type="dxa"/>
          </w:tcPr>
          <w:p w14:paraId="13D886CE" w14:textId="77777777" w:rsidR="00D97131" w:rsidRPr="00BE12AD" w:rsidRDefault="00D97131">
            <w:pPr>
              <w:rPr>
                <w:rFonts w:cs="Arial"/>
                <w:sz w:val="20"/>
                <w:szCs w:val="20"/>
              </w:rPr>
            </w:pPr>
          </w:p>
        </w:tc>
      </w:tr>
      <w:tr w:rsidR="00D97131" w14:paraId="244F7A8E" w14:textId="77777777" w:rsidTr="00305671">
        <w:tc>
          <w:tcPr>
            <w:tcW w:w="1530" w:type="dxa"/>
          </w:tcPr>
          <w:p w14:paraId="5BFB098F" w14:textId="77777777" w:rsidR="00D97131" w:rsidRDefault="00D97131"/>
        </w:tc>
        <w:tc>
          <w:tcPr>
            <w:tcW w:w="9450" w:type="dxa"/>
          </w:tcPr>
          <w:p w14:paraId="55E74503" w14:textId="7463DCF4" w:rsidR="00D97131" w:rsidRPr="00BE12AD" w:rsidRDefault="00BE12AD" w:rsidP="00BE12AD">
            <w:pPr>
              <w:keepLines/>
              <w:rPr>
                <w:rFonts w:cs="Arial"/>
                <w:sz w:val="20"/>
                <w:szCs w:val="20"/>
              </w:rPr>
            </w:pPr>
            <w:r w:rsidRPr="009711F0">
              <w:rPr>
                <w:rFonts w:cs="Arial"/>
                <w:sz w:val="20"/>
                <w:szCs w:val="20"/>
              </w:rPr>
              <w:t xml:space="preserve">Explain how enhanced MCR services are </w:t>
            </w:r>
            <w:r w:rsidR="00124731" w:rsidRPr="009711F0">
              <w:rPr>
                <w:rFonts w:cs="Arial"/>
                <w:sz w:val="20"/>
                <w:szCs w:val="20"/>
              </w:rPr>
              <w:t xml:space="preserve">assisting to meet </w:t>
            </w:r>
            <w:r w:rsidR="00BA0A37" w:rsidRPr="009711F0">
              <w:rPr>
                <w:rFonts w:cs="Arial"/>
                <w:sz w:val="20"/>
                <w:szCs w:val="20"/>
              </w:rPr>
              <w:t>the needs of urban and rural communities</w:t>
            </w:r>
            <w:r w:rsidRPr="009711F0">
              <w:rPr>
                <w:rFonts w:cs="Arial"/>
                <w:sz w:val="20"/>
                <w:szCs w:val="20"/>
              </w:rPr>
              <w:t xml:space="preserve"> within the region</w:t>
            </w:r>
            <w:r w:rsidR="00EB124A">
              <w:rPr>
                <w:rFonts w:cs="Arial"/>
                <w:sz w:val="20"/>
                <w:szCs w:val="20"/>
              </w:rPr>
              <w:t>.</w:t>
            </w:r>
          </w:p>
        </w:tc>
      </w:tr>
      <w:tr w:rsidR="00D97131" w14:paraId="1CAC1EF6" w14:textId="77777777" w:rsidTr="00305671">
        <w:trPr>
          <w:trHeight w:val="1457"/>
        </w:trPr>
        <w:tc>
          <w:tcPr>
            <w:tcW w:w="1530" w:type="dxa"/>
          </w:tcPr>
          <w:p w14:paraId="181D53BC" w14:textId="77777777" w:rsidR="00D97131" w:rsidRDefault="00D97131"/>
        </w:tc>
        <w:tc>
          <w:tcPr>
            <w:tcW w:w="9450" w:type="dxa"/>
          </w:tcPr>
          <w:p w14:paraId="0C25AEB5" w14:textId="77777777" w:rsidR="00D97131" w:rsidRPr="00BE12AD" w:rsidRDefault="00D97131">
            <w:pPr>
              <w:rPr>
                <w:rFonts w:cs="Arial"/>
                <w:sz w:val="20"/>
                <w:szCs w:val="20"/>
              </w:rPr>
            </w:pPr>
          </w:p>
        </w:tc>
      </w:tr>
      <w:tr w:rsidR="00D97131" w14:paraId="0F928DE1" w14:textId="77777777" w:rsidTr="00305671">
        <w:trPr>
          <w:trHeight w:val="728"/>
        </w:trPr>
        <w:tc>
          <w:tcPr>
            <w:tcW w:w="1530" w:type="dxa"/>
          </w:tcPr>
          <w:p w14:paraId="122C889B" w14:textId="77777777" w:rsidR="00D97131" w:rsidRDefault="00D97131"/>
        </w:tc>
        <w:tc>
          <w:tcPr>
            <w:tcW w:w="9450" w:type="dxa"/>
          </w:tcPr>
          <w:p w14:paraId="68D35C8D" w14:textId="0AAA5A85" w:rsidR="00D97131" w:rsidRPr="00BE12AD" w:rsidRDefault="00AC59FF">
            <w:pPr>
              <w:rPr>
                <w:rFonts w:cs="Arial"/>
                <w:sz w:val="20"/>
                <w:szCs w:val="20"/>
              </w:rPr>
            </w:pPr>
            <w:r w:rsidRPr="009711F0">
              <w:rPr>
                <w:rFonts w:cs="Arial"/>
                <w:sz w:val="20"/>
                <w:szCs w:val="20"/>
              </w:rPr>
              <w:t xml:space="preserve">Explain how the Trueblood enhancement funds are supporting MCR </w:t>
            </w:r>
            <w:r w:rsidR="00BE12AD" w:rsidRPr="009711F0">
              <w:rPr>
                <w:rFonts w:cs="Arial"/>
                <w:sz w:val="20"/>
                <w:szCs w:val="20"/>
              </w:rPr>
              <w:t>coordinat</w:t>
            </w:r>
            <w:r w:rsidRPr="009711F0">
              <w:rPr>
                <w:rFonts w:cs="Arial"/>
                <w:sz w:val="20"/>
                <w:szCs w:val="20"/>
              </w:rPr>
              <w:t xml:space="preserve">ing efforts </w:t>
            </w:r>
            <w:r w:rsidR="00BE12AD" w:rsidRPr="009711F0">
              <w:rPr>
                <w:rFonts w:cs="Arial"/>
                <w:sz w:val="20"/>
                <w:szCs w:val="20"/>
              </w:rPr>
              <w:t>with tribal</w:t>
            </w:r>
            <w:r w:rsidRPr="009711F0">
              <w:rPr>
                <w:rFonts w:cs="Arial"/>
                <w:sz w:val="20"/>
                <w:szCs w:val="20"/>
              </w:rPr>
              <w:t xml:space="preserve"> government, </w:t>
            </w:r>
            <w:r w:rsidR="00BE12AD" w:rsidRPr="009711F0">
              <w:rPr>
                <w:rFonts w:cs="Arial"/>
                <w:sz w:val="20"/>
                <w:szCs w:val="20"/>
              </w:rPr>
              <w:t>community hospital</w:t>
            </w:r>
            <w:r w:rsidRPr="009711F0">
              <w:rPr>
                <w:rFonts w:cs="Arial"/>
                <w:sz w:val="20"/>
                <w:szCs w:val="20"/>
              </w:rPr>
              <w:t xml:space="preserve"> and community </w:t>
            </w:r>
            <w:r w:rsidR="00BE12AD" w:rsidRPr="009711F0">
              <w:rPr>
                <w:rFonts w:cs="Arial"/>
                <w:sz w:val="20"/>
                <w:szCs w:val="20"/>
              </w:rPr>
              <w:t>behavioral health services</w:t>
            </w:r>
          </w:p>
        </w:tc>
      </w:tr>
      <w:tr w:rsidR="00D97131" w14:paraId="11C5AC0E" w14:textId="77777777" w:rsidTr="00305671">
        <w:trPr>
          <w:trHeight w:val="1835"/>
        </w:trPr>
        <w:tc>
          <w:tcPr>
            <w:tcW w:w="1530" w:type="dxa"/>
          </w:tcPr>
          <w:p w14:paraId="04599F7F" w14:textId="77777777" w:rsidR="00D97131" w:rsidRDefault="00D97131"/>
        </w:tc>
        <w:tc>
          <w:tcPr>
            <w:tcW w:w="9450" w:type="dxa"/>
          </w:tcPr>
          <w:p w14:paraId="632807F2" w14:textId="4237EB09" w:rsidR="00D97131" w:rsidRPr="00BE12AD" w:rsidRDefault="00D97131">
            <w:pPr>
              <w:rPr>
                <w:rFonts w:cs="Arial"/>
                <w:sz w:val="20"/>
                <w:szCs w:val="20"/>
              </w:rPr>
            </w:pPr>
          </w:p>
        </w:tc>
      </w:tr>
      <w:tr w:rsidR="00FD396D" w14:paraId="41B940AE" w14:textId="77777777" w:rsidTr="00305671">
        <w:trPr>
          <w:trHeight w:val="512"/>
        </w:trPr>
        <w:tc>
          <w:tcPr>
            <w:tcW w:w="1530" w:type="dxa"/>
          </w:tcPr>
          <w:p w14:paraId="171B8337" w14:textId="77777777" w:rsidR="00FD396D" w:rsidRDefault="00FD396D" w:rsidP="00305671">
            <w:pPr>
              <w:keepNext/>
              <w:keepLines/>
            </w:pPr>
          </w:p>
        </w:tc>
        <w:tc>
          <w:tcPr>
            <w:tcW w:w="9450" w:type="dxa"/>
          </w:tcPr>
          <w:p w14:paraId="15859BDE" w14:textId="6C29A1E4" w:rsidR="00FD396D" w:rsidRPr="00BE12AD" w:rsidRDefault="00FD396D" w:rsidP="00305671">
            <w:pPr>
              <w:keepNext/>
              <w:keepLines/>
              <w:rPr>
                <w:rFonts w:cs="Arial"/>
                <w:sz w:val="20"/>
                <w:szCs w:val="20"/>
              </w:rPr>
            </w:pPr>
            <w:r w:rsidRPr="00FD396D">
              <w:rPr>
                <w:rFonts w:cs="Arial"/>
                <w:bCs/>
                <w:sz w:val="20"/>
                <w:szCs w:val="20"/>
              </w:rPr>
              <w:t>Describe efforts on how the region is currently coordinating efforts and strategies designed to provide community outreach</w:t>
            </w:r>
            <w:r w:rsidRPr="00FD396D">
              <w:rPr>
                <w:rFonts w:cs="Arial"/>
                <w:sz w:val="20"/>
                <w:szCs w:val="20"/>
              </w:rPr>
              <w:t xml:space="preserve"> </w:t>
            </w:r>
            <w:r w:rsidRPr="00FD396D">
              <w:rPr>
                <w:rFonts w:cs="Arial"/>
                <w:bCs/>
                <w:sz w:val="20"/>
                <w:szCs w:val="20"/>
              </w:rPr>
              <w:t>education to community partners, law enforcement, community hospitals and organization with a focus on increased public awareness of the Enhanced MCR services to include goals, action steps and timeline for completion.</w:t>
            </w:r>
          </w:p>
        </w:tc>
      </w:tr>
      <w:tr w:rsidR="00FD396D" w14:paraId="59CA3D91" w14:textId="77777777" w:rsidTr="00305671">
        <w:trPr>
          <w:trHeight w:val="1592"/>
        </w:trPr>
        <w:tc>
          <w:tcPr>
            <w:tcW w:w="1530" w:type="dxa"/>
          </w:tcPr>
          <w:p w14:paraId="6219ADDC" w14:textId="77777777" w:rsidR="00FD396D" w:rsidRDefault="00FD396D" w:rsidP="00305671">
            <w:pPr>
              <w:keepNext/>
              <w:keepLines/>
            </w:pPr>
          </w:p>
        </w:tc>
        <w:tc>
          <w:tcPr>
            <w:tcW w:w="9450" w:type="dxa"/>
          </w:tcPr>
          <w:p w14:paraId="0E2FC5F7" w14:textId="77777777" w:rsidR="00FD396D" w:rsidRPr="00BE12AD" w:rsidRDefault="00FD396D" w:rsidP="00305671">
            <w:pPr>
              <w:keepNext/>
              <w:keepLines/>
              <w:rPr>
                <w:rFonts w:cs="Arial"/>
                <w:sz w:val="20"/>
                <w:szCs w:val="20"/>
              </w:rPr>
            </w:pPr>
          </w:p>
        </w:tc>
      </w:tr>
      <w:tr w:rsidR="00FD396D" w14:paraId="6AF49D5B" w14:textId="77777777" w:rsidTr="00305671">
        <w:trPr>
          <w:trHeight w:val="737"/>
        </w:trPr>
        <w:tc>
          <w:tcPr>
            <w:tcW w:w="1530" w:type="dxa"/>
          </w:tcPr>
          <w:p w14:paraId="4AE48FD8" w14:textId="77777777" w:rsidR="00FD396D" w:rsidRDefault="00FD396D"/>
        </w:tc>
        <w:tc>
          <w:tcPr>
            <w:tcW w:w="9450" w:type="dxa"/>
          </w:tcPr>
          <w:p w14:paraId="211CA131" w14:textId="6EE0EEC0" w:rsidR="00A62B0D" w:rsidRDefault="00FD396D">
            <w:pPr>
              <w:rPr>
                <w:rFonts w:cs="Arial"/>
                <w:sz w:val="20"/>
                <w:szCs w:val="20"/>
              </w:rPr>
            </w:pPr>
            <w:r w:rsidRPr="00FD396D">
              <w:rPr>
                <w:rFonts w:cs="Arial"/>
                <w:sz w:val="20"/>
                <w:szCs w:val="20"/>
              </w:rPr>
              <w:t xml:space="preserve">Please provide copies of any outreach materials and /or community engagement strategies </w:t>
            </w:r>
            <w:r w:rsidR="002F27DF">
              <w:rPr>
                <w:rFonts w:cs="Arial"/>
                <w:sz w:val="20"/>
                <w:szCs w:val="20"/>
              </w:rPr>
              <w:t>provided or</w:t>
            </w:r>
            <w:r w:rsidR="00BD1B59">
              <w:rPr>
                <w:rFonts w:cs="Arial"/>
                <w:sz w:val="20"/>
                <w:szCs w:val="20"/>
              </w:rPr>
              <w:t xml:space="preserve"> created </w:t>
            </w:r>
            <w:r w:rsidRPr="00FD396D">
              <w:rPr>
                <w:rFonts w:cs="Arial"/>
                <w:sz w:val="20"/>
                <w:szCs w:val="20"/>
              </w:rPr>
              <w:t>to educate</w:t>
            </w:r>
            <w:r w:rsidR="00BD1B59">
              <w:rPr>
                <w:rFonts w:cs="Arial"/>
                <w:sz w:val="20"/>
                <w:szCs w:val="20"/>
              </w:rPr>
              <w:t xml:space="preserve">, </w:t>
            </w:r>
            <w:r w:rsidRPr="00FD396D">
              <w:rPr>
                <w:rFonts w:cs="Arial"/>
                <w:sz w:val="20"/>
                <w:szCs w:val="20"/>
              </w:rPr>
              <w:t>request assistance</w:t>
            </w:r>
            <w:r w:rsidR="006C19E1">
              <w:rPr>
                <w:rFonts w:cs="Arial"/>
                <w:sz w:val="20"/>
                <w:szCs w:val="20"/>
              </w:rPr>
              <w:t xml:space="preserve">, and to inform the community of services provided. Identify the intended </w:t>
            </w:r>
            <w:r w:rsidR="00BD1B59" w:rsidRPr="00FD396D">
              <w:rPr>
                <w:rFonts w:cs="Arial"/>
                <w:sz w:val="20"/>
                <w:szCs w:val="20"/>
              </w:rPr>
              <w:t>audience</w:t>
            </w:r>
            <w:r w:rsidR="006C19E1">
              <w:rPr>
                <w:rFonts w:cs="Arial"/>
                <w:sz w:val="20"/>
                <w:szCs w:val="20"/>
              </w:rPr>
              <w:t xml:space="preserve"> for created documents.</w:t>
            </w:r>
            <w:r w:rsidR="007F6EE7">
              <w:rPr>
                <w:rFonts w:cs="Arial"/>
                <w:sz w:val="20"/>
                <w:szCs w:val="20"/>
              </w:rPr>
              <w:t xml:space="preserve"> This will include </w:t>
            </w:r>
            <w:r w:rsidR="00A62B0D">
              <w:rPr>
                <w:rFonts w:cs="Arial"/>
                <w:sz w:val="20"/>
                <w:szCs w:val="20"/>
              </w:rPr>
              <w:t xml:space="preserve">edits or </w:t>
            </w:r>
            <w:r w:rsidR="007F6EE7">
              <w:rPr>
                <w:rFonts w:cs="Arial"/>
                <w:sz w:val="20"/>
                <w:szCs w:val="20"/>
              </w:rPr>
              <w:t xml:space="preserve">changes to existing documents as well as </w:t>
            </w:r>
            <w:r w:rsidR="006C19E1">
              <w:rPr>
                <w:rFonts w:cs="Arial"/>
                <w:sz w:val="20"/>
                <w:szCs w:val="20"/>
              </w:rPr>
              <w:t xml:space="preserve">any </w:t>
            </w:r>
            <w:r w:rsidR="007F6EE7">
              <w:rPr>
                <w:rFonts w:cs="Arial"/>
                <w:sz w:val="20"/>
                <w:szCs w:val="20"/>
              </w:rPr>
              <w:t xml:space="preserve">newly created documents.  </w:t>
            </w:r>
          </w:p>
          <w:p w14:paraId="3D6F1E92" w14:textId="6C6B6867" w:rsidR="00FD396D" w:rsidRPr="00BE12AD" w:rsidRDefault="007F6EE7">
            <w:pPr>
              <w:rPr>
                <w:rFonts w:cs="Arial"/>
                <w:sz w:val="20"/>
                <w:szCs w:val="20"/>
              </w:rPr>
            </w:pPr>
            <w:r>
              <w:rPr>
                <w:rFonts w:cs="Arial"/>
                <w:sz w:val="20"/>
                <w:szCs w:val="20"/>
              </w:rPr>
              <w:t xml:space="preserve">If </w:t>
            </w:r>
            <w:r w:rsidR="004520CF">
              <w:rPr>
                <w:rFonts w:cs="Arial"/>
                <w:sz w:val="20"/>
                <w:szCs w:val="20"/>
              </w:rPr>
              <w:t xml:space="preserve">there are </w:t>
            </w:r>
            <w:r>
              <w:rPr>
                <w:rFonts w:cs="Arial"/>
                <w:sz w:val="20"/>
                <w:szCs w:val="20"/>
              </w:rPr>
              <w:t>no changes</w:t>
            </w:r>
            <w:r w:rsidR="00A62B0D">
              <w:rPr>
                <w:rFonts w:cs="Arial"/>
                <w:sz w:val="20"/>
                <w:szCs w:val="20"/>
              </w:rPr>
              <w:t xml:space="preserve"> to </w:t>
            </w:r>
            <w:r w:rsidR="00403302">
              <w:rPr>
                <w:rFonts w:cs="Arial"/>
                <w:sz w:val="20"/>
                <w:szCs w:val="20"/>
              </w:rPr>
              <w:t xml:space="preserve">existing </w:t>
            </w:r>
            <w:r w:rsidR="00A62B0D">
              <w:rPr>
                <w:rFonts w:cs="Arial"/>
                <w:sz w:val="20"/>
                <w:szCs w:val="20"/>
              </w:rPr>
              <w:t>documentations</w:t>
            </w:r>
            <w:r>
              <w:rPr>
                <w:rFonts w:cs="Arial"/>
                <w:sz w:val="20"/>
                <w:szCs w:val="20"/>
              </w:rPr>
              <w:t xml:space="preserve">, this </w:t>
            </w:r>
            <w:r w:rsidR="009F1C7C">
              <w:rPr>
                <w:rFonts w:cs="Arial"/>
                <w:sz w:val="20"/>
                <w:szCs w:val="20"/>
              </w:rPr>
              <w:t xml:space="preserve">area </w:t>
            </w:r>
            <w:r>
              <w:rPr>
                <w:rFonts w:cs="Arial"/>
                <w:sz w:val="20"/>
                <w:szCs w:val="20"/>
              </w:rPr>
              <w:t xml:space="preserve">can be marked as “not applicable” </w:t>
            </w:r>
            <w:r w:rsidR="00A62B0D">
              <w:rPr>
                <w:rFonts w:cs="Arial"/>
                <w:sz w:val="20"/>
                <w:szCs w:val="20"/>
              </w:rPr>
              <w:t>.</w:t>
            </w:r>
          </w:p>
        </w:tc>
      </w:tr>
      <w:tr w:rsidR="00FD396D" w14:paraId="0F0A333E" w14:textId="77777777" w:rsidTr="00305671">
        <w:trPr>
          <w:trHeight w:val="1493"/>
        </w:trPr>
        <w:tc>
          <w:tcPr>
            <w:tcW w:w="1530" w:type="dxa"/>
            <w:tcBorders>
              <w:bottom w:val="single" w:sz="4" w:space="0" w:color="auto"/>
            </w:tcBorders>
          </w:tcPr>
          <w:p w14:paraId="55009A32" w14:textId="77777777" w:rsidR="00FD396D" w:rsidRDefault="00FD396D"/>
        </w:tc>
        <w:tc>
          <w:tcPr>
            <w:tcW w:w="9450" w:type="dxa"/>
            <w:tcBorders>
              <w:bottom w:val="single" w:sz="4" w:space="0" w:color="auto"/>
            </w:tcBorders>
          </w:tcPr>
          <w:p w14:paraId="1328607C" w14:textId="77777777" w:rsidR="00FD396D" w:rsidRPr="00BE12AD" w:rsidRDefault="00FD396D">
            <w:pPr>
              <w:rPr>
                <w:rFonts w:cs="Arial"/>
                <w:sz w:val="20"/>
                <w:szCs w:val="20"/>
              </w:rPr>
            </w:pPr>
          </w:p>
        </w:tc>
      </w:tr>
    </w:tbl>
    <w:p w14:paraId="14D67B90" w14:textId="35160BDF" w:rsidR="00F30F94" w:rsidRDefault="00F30F94" w:rsidP="00CF2337">
      <w:pPr>
        <w:jc w:val="center"/>
      </w:pPr>
    </w:p>
    <w:tbl>
      <w:tblPr>
        <w:tblW w:w="10979" w:type="dxa"/>
        <w:jc w:val="center"/>
        <w:tblLook w:val="04A0" w:firstRow="1" w:lastRow="0" w:firstColumn="1" w:lastColumn="0" w:noHBand="0" w:noVBand="1"/>
      </w:tblPr>
      <w:tblGrid>
        <w:gridCol w:w="2574"/>
        <w:gridCol w:w="700"/>
        <w:gridCol w:w="700"/>
        <w:gridCol w:w="705"/>
        <w:gridCol w:w="700"/>
        <w:gridCol w:w="700"/>
        <w:gridCol w:w="700"/>
        <w:gridCol w:w="700"/>
        <w:gridCol w:w="700"/>
        <w:gridCol w:w="700"/>
        <w:gridCol w:w="700"/>
        <w:gridCol w:w="700"/>
        <w:gridCol w:w="700"/>
      </w:tblGrid>
      <w:tr w:rsidR="00D172BF" w:rsidRPr="00D172BF" w14:paraId="20A81842" w14:textId="77777777" w:rsidTr="00305671">
        <w:trPr>
          <w:trHeight w:val="595"/>
          <w:jc w:val="center"/>
        </w:trPr>
        <w:tc>
          <w:tcPr>
            <w:tcW w:w="25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1EA33F" w14:textId="77777777" w:rsidR="00D172BF" w:rsidRPr="00D172BF" w:rsidRDefault="00D172BF" w:rsidP="00D172BF">
            <w:r w:rsidRPr="00D172BF">
              <w:t>Month of Service:</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276994FC" w14:textId="77777777" w:rsidR="00D172BF" w:rsidRPr="00D172BF" w:rsidRDefault="00D172BF" w:rsidP="00D172BF">
            <w:r w:rsidRPr="00D172BF">
              <w:t>JAN</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18854D02" w14:textId="77777777" w:rsidR="00D172BF" w:rsidRPr="00D172BF" w:rsidRDefault="00D172BF" w:rsidP="00D172BF">
            <w:r w:rsidRPr="00D172BF">
              <w:t>FEB</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4CE807D0" w14:textId="77777777" w:rsidR="00D172BF" w:rsidRPr="00D172BF" w:rsidRDefault="00D172BF" w:rsidP="00D172BF">
            <w:r w:rsidRPr="00D172BF">
              <w:t>MAR</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7C809857" w14:textId="77777777" w:rsidR="00D172BF" w:rsidRPr="00D172BF" w:rsidRDefault="00D172BF" w:rsidP="00D172BF">
            <w:r w:rsidRPr="00D172BF">
              <w:t>APR</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C614361" w14:textId="77777777" w:rsidR="00D172BF" w:rsidRPr="00D172BF" w:rsidRDefault="00D172BF" w:rsidP="00D172BF">
            <w:r w:rsidRPr="00D172BF">
              <w:t>MAY</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A62D127" w14:textId="77777777" w:rsidR="00D172BF" w:rsidRPr="00D172BF" w:rsidRDefault="00D172BF" w:rsidP="00D172BF">
            <w:r w:rsidRPr="00D172BF">
              <w:t>JUN</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BFEBB2D" w14:textId="77777777" w:rsidR="00D172BF" w:rsidRPr="00D172BF" w:rsidRDefault="00D172BF" w:rsidP="00D172BF">
            <w:r w:rsidRPr="00D172BF">
              <w:t>JUL</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265FB0C6" w14:textId="77777777" w:rsidR="00D172BF" w:rsidRPr="00D172BF" w:rsidRDefault="00D172BF" w:rsidP="00D172BF">
            <w:r w:rsidRPr="00D172BF">
              <w:t>AUG</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400D667C" w14:textId="77777777" w:rsidR="00D172BF" w:rsidRPr="00D172BF" w:rsidRDefault="00D172BF" w:rsidP="00D172BF">
            <w:r w:rsidRPr="00D172BF">
              <w:t>SEP</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5D21729F" w14:textId="77777777" w:rsidR="00D172BF" w:rsidRPr="00D172BF" w:rsidRDefault="00D172BF" w:rsidP="00D172BF">
            <w:r w:rsidRPr="00D172BF">
              <w:t>OCT</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73713DA" w14:textId="77777777" w:rsidR="00D172BF" w:rsidRPr="00D172BF" w:rsidRDefault="00D172BF" w:rsidP="00D172BF">
            <w:r w:rsidRPr="00D172BF">
              <w:t>NOV</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47018715" w14:textId="77777777" w:rsidR="00D172BF" w:rsidRPr="00D172BF" w:rsidRDefault="00D172BF" w:rsidP="00D172BF">
            <w:r w:rsidRPr="00D172BF">
              <w:t>DEC</w:t>
            </w:r>
          </w:p>
        </w:tc>
      </w:tr>
      <w:tr w:rsidR="00D172BF" w:rsidRPr="00D172BF" w14:paraId="707FA421" w14:textId="77777777" w:rsidTr="00305671">
        <w:trPr>
          <w:trHeight w:val="595"/>
          <w:jc w:val="center"/>
        </w:trPr>
        <w:tc>
          <w:tcPr>
            <w:tcW w:w="2574" w:type="dxa"/>
            <w:tcBorders>
              <w:top w:val="nil"/>
              <w:left w:val="single" w:sz="4" w:space="0" w:color="auto"/>
              <w:bottom w:val="single" w:sz="4" w:space="0" w:color="auto"/>
              <w:right w:val="single" w:sz="4" w:space="0" w:color="auto"/>
            </w:tcBorders>
            <w:shd w:val="clear" w:color="auto" w:fill="auto"/>
            <w:vAlign w:val="bottom"/>
          </w:tcPr>
          <w:p w14:paraId="6BB75778" w14:textId="77777777" w:rsidR="00D172BF" w:rsidRPr="00D172BF" w:rsidRDefault="00D172BF" w:rsidP="00D172BF">
            <w:r w:rsidRPr="00D172BF">
              <w:t>Total Number of Services</w:t>
            </w:r>
          </w:p>
        </w:tc>
        <w:tc>
          <w:tcPr>
            <w:tcW w:w="700" w:type="dxa"/>
            <w:tcBorders>
              <w:top w:val="nil"/>
              <w:left w:val="nil"/>
              <w:bottom w:val="single" w:sz="4" w:space="0" w:color="auto"/>
              <w:right w:val="single" w:sz="4" w:space="0" w:color="auto"/>
            </w:tcBorders>
            <w:shd w:val="clear" w:color="auto" w:fill="auto"/>
            <w:noWrap/>
            <w:vAlign w:val="bottom"/>
          </w:tcPr>
          <w:p w14:paraId="73A378F9"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tcPr>
          <w:p w14:paraId="6164D553" w14:textId="77777777" w:rsidR="00D172BF" w:rsidRPr="00D172BF" w:rsidRDefault="00D172BF" w:rsidP="00D172BF">
            <w:r w:rsidRPr="00D172BF">
              <w:t> </w:t>
            </w:r>
          </w:p>
        </w:tc>
        <w:tc>
          <w:tcPr>
            <w:tcW w:w="705" w:type="dxa"/>
            <w:tcBorders>
              <w:top w:val="nil"/>
              <w:left w:val="nil"/>
              <w:bottom w:val="single" w:sz="4" w:space="0" w:color="auto"/>
              <w:right w:val="single" w:sz="4" w:space="0" w:color="auto"/>
            </w:tcBorders>
            <w:shd w:val="clear" w:color="auto" w:fill="auto"/>
            <w:noWrap/>
            <w:vAlign w:val="bottom"/>
          </w:tcPr>
          <w:p w14:paraId="7458CE81"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tcPr>
          <w:p w14:paraId="0DF726A6"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tcPr>
          <w:p w14:paraId="5D92647A"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tcPr>
          <w:p w14:paraId="542582AC"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tcPr>
          <w:p w14:paraId="3E12DEF8"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tcPr>
          <w:p w14:paraId="7500ABCE"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tcPr>
          <w:p w14:paraId="35CBE444"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tcPr>
          <w:p w14:paraId="6A00C3DE"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tcPr>
          <w:p w14:paraId="3A66FA35"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tcPr>
          <w:p w14:paraId="1B99A5F0" w14:textId="77777777" w:rsidR="00D172BF" w:rsidRPr="00D172BF" w:rsidRDefault="00D172BF" w:rsidP="00D172BF">
            <w:r w:rsidRPr="00D172BF">
              <w:t> </w:t>
            </w:r>
          </w:p>
        </w:tc>
      </w:tr>
      <w:tr w:rsidR="00D172BF" w:rsidRPr="00D172BF" w14:paraId="610FED42" w14:textId="77777777" w:rsidTr="00305671">
        <w:trPr>
          <w:trHeight w:val="472"/>
          <w:jc w:val="center"/>
        </w:trPr>
        <w:tc>
          <w:tcPr>
            <w:tcW w:w="2574" w:type="dxa"/>
            <w:tcBorders>
              <w:top w:val="nil"/>
              <w:left w:val="single" w:sz="4" w:space="0" w:color="auto"/>
              <w:bottom w:val="single" w:sz="4" w:space="0" w:color="auto"/>
              <w:right w:val="single" w:sz="4" w:space="0" w:color="auto"/>
            </w:tcBorders>
            <w:shd w:val="clear" w:color="auto" w:fill="auto"/>
            <w:vAlign w:val="bottom"/>
            <w:hideMark/>
          </w:tcPr>
          <w:p w14:paraId="6BC86BD0" w14:textId="77777777" w:rsidR="00D172BF" w:rsidRPr="00D172BF" w:rsidRDefault="00D172BF" w:rsidP="00D172BF">
            <w:r w:rsidRPr="00D172BF">
              <w:t>Total Number of Unduplicated Clients Served</w:t>
            </w:r>
          </w:p>
        </w:tc>
        <w:tc>
          <w:tcPr>
            <w:tcW w:w="700" w:type="dxa"/>
            <w:tcBorders>
              <w:top w:val="nil"/>
              <w:left w:val="nil"/>
              <w:bottom w:val="single" w:sz="4" w:space="0" w:color="auto"/>
              <w:right w:val="single" w:sz="4" w:space="0" w:color="auto"/>
            </w:tcBorders>
            <w:shd w:val="clear" w:color="auto" w:fill="auto"/>
            <w:noWrap/>
            <w:vAlign w:val="bottom"/>
            <w:hideMark/>
          </w:tcPr>
          <w:p w14:paraId="02DD0513"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hideMark/>
          </w:tcPr>
          <w:p w14:paraId="74185CC7" w14:textId="77777777" w:rsidR="00D172BF" w:rsidRPr="00D172BF" w:rsidRDefault="00D172BF" w:rsidP="00D172BF">
            <w:r w:rsidRPr="00D172BF">
              <w:t> </w:t>
            </w:r>
          </w:p>
        </w:tc>
        <w:tc>
          <w:tcPr>
            <w:tcW w:w="705" w:type="dxa"/>
            <w:tcBorders>
              <w:top w:val="nil"/>
              <w:left w:val="nil"/>
              <w:bottom w:val="single" w:sz="4" w:space="0" w:color="auto"/>
              <w:right w:val="single" w:sz="4" w:space="0" w:color="auto"/>
            </w:tcBorders>
            <w:shd w:val="clear" w:color="auto" w:fill="auto"/>
            <w:noWrap/>
            <w:vAlign w:val="bottom"/>
            <w:hideMark/>
          </w:tcPr>
          <w:p w14:paraId="65AC24F2"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hideMark/>
          </w:tcPr>
          <w:p w14:paraId="181242FD"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hideMark/>
          </w:tcPr>
          <w:p w14:paraId="0FA0AD0B"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hideMark/>
          </w:tcPr>
          <w:p w14:paraId="221B3D43"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hideMark/>
          </w:tcPr>
          <w:p w14:paraId="0A0A0B02"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hideMark/>
          </w:tcPr>
          <w:p w14:paraId="3E551322"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hideMark/>
          </w:tcPr>
          <w:p w14:paraId="60CBDD29"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hideMark/>
          </w:tcPr>
          <w:p w14:paraId="07F0579F"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hideMark/>
          </w:tcPr>
          <w:p w14:paraId="2A5E2D8E"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hideMark/>
          </w:tcPr>
          <w:p w14:paraId="7A065C4D" w14:textId="77777777" w:rsidR="00D172BF" w:rsidRPr="00D172BF" w:rsidRDefault="00D172BF" w:rsidP="00D172BF">
            <w:r w:rsidRPr="00D172BF">
              <w:t> </w:t>
            </w:r>
          </w:p>
        </w:tc>
      </w:tr>
      <w:tr w:rsidR="00D172BF" w:rsidRPr="00D172BF" w14:paraId="2A4C2387" w14:textId="77777777" w:rsidTr="00305671">
        <w:trPr>
          <w:trHeight w:val="632"/>
          <w:jc w:val="center"/>
        </w:trPr>
        <w:tc>
          <w:tcPr>
            <w:tcW w:w="2574" w:type="dxa"/>
            <w:tcBorders>
              <w:top w:val="nil"/>
              <w:left w:val="single" w:sz="4" w:space="0" w:color="auto"/>
              <w:bottom w:val="single" w:sz="4" w:space="0" w:color="auto"/>
              <w:right w:val="single" w:sz="4" w:space="0" w:color="auto"/>
            </w:tcBorders>
            <w:shd w:val="clear" w:color="auto" w:fill="auto"/>
            <w:vAlign w:val="bottom"/>
            <w:hideMark/>
          </w:tcPr>
          <w:p w14:paraId="3B0DDD69" w14:textId="77777777" w:rsidR="00D172BF" w:rsidRPr="00D172BF" w:rsidRDefault="00D172BF" w:rsidP="00D172BF">
            <w:r w:rsidRPr="00D172BF">
              <w:t>Total Number of Crisis Events</w:t>
            </w:r>
          </w:p>
        </w:tc>
        <w:tc>
          <w:tcPr>
            <w:tcW w:w="700" w:type="dxa"/>
            <w:tcBorders>
              <w:top w:val="nil"/>
              <w:left w:val="nil"/>
              <w:bottom w:val="single" w:sz="4" w:space="0" w:color="auto"/>
              <w:right w:val="single" w:sz="4" w:space="0" w:color="auto"/>
            </w:tcBorders>
            <w:shd w:val="clear" w:color="auto" w:fill="auto"/>
            <w:noWrap/>
            <w:vAlign w:val="bottom"/>
            <w:hideMark/>
          </w:tcPr>
          <w:p w14:paraId="1DF3D638"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hideMark/>
          </w:tcPr>
          <w:p w14:paraId="2E6DEA5A" w14:textId="77777777" w:rsidR="00D172BF" w:rsidRPr="00D172BF" w:rsidRDefault="00D172BF" w:rsidP="00D172BF">
            <w:r w:rsidRPr="00D172BF">
              <w:t> </w:t>
            </w:r>
          </w:p>
        </w:tc>
        <w:tc>
          <w:tcPr>
            <w:tcW w:w="705" w:type="dxa"/>
            <w:tcBorders>
              <w:top w:val="nil"/>
              <w:left w:val="nil"/>
              <w:bottom w:val="single" w:sz="4" w:space="0" w:color="auto"/>
              <w:right w:val="single" w:sz="4" w:space="0" w:color="auto"/>
            </w:tcBorders>
            <w:shd w:val="clear" w:color="auto" w:fill="auto"/>
            <w:noWrap/>
            <w:vAlign w:val="bottom"/>
            <w:hideMark/>
          </w:tcPr>
          <w:p w14:paraId="49C44786"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hideMark/>
          </w:tcPr>
          <w:p w14:paraId="09F8CECD"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hideMark/>
          </w:tcPr>
          <w:p w14:paraId="29225043"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hideMark/>
          </w:tcPr>
          <w:p w14:paraId="246DE040"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hideMark/>
          </w:tcPr>
          <w:p w14:paraId="2640BCC9"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hideMark/>
          </w:tcPr>
          <w:p w14:paraId="1C973414"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hideMark/>
          </w:tcPr>
          <w:p w14:paraId="6FB59A8F"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hideMark/>
          </w:tcPr>
          <w:p w14:paraId="24F7621A"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hideMark/>
          </w:tcPr>
          <w:p w14:paraId="417B468D" w14:textId="77777777" w:rsidR="00D172BF" w:rsidRPr="00D172BF" w:rsidRDefault="00D172BF" w:rsidP="00D172BF">
            <w:r w:rsidRPr="00D172BF">
              <w:t> </w:t>
            </w:r>
          </w:p>
        </w:tc>
        <w:tc>
          <w:tcPr>
            <w:tcW w:w="700" w:type="dxa"/>
            <w:tcBorders>
              <w:top w:val="nil"/>
              <w:left w:val="nil"/>
              <w:bottom w:val="single" w:sz="4" w:space="0" w:color="auto"/>
              <w:right w:val="single" w:sz="4" w:space="0" w:color="auto"/>
            </w:tcBorders>
            <w:shd w:val="clear" w:color="auto" w:fill="auto"/>
            <w:noWrap/>
            <w:vAlign w:val="bottom"/>
            <w:hideMark/>
          </w:tcPr>
          <w:p w14:paraId="314E7786" w14:textId="77777777" w:rsidR="00D172BF" w:rsidRPr="00D172BF" w:rsidRDefault="00D172BF" w:rsidP="00D172BF">
            <w:r w:rsidRPr="00D172BF">
              <w:t> </w:t>
            </w:r>
          </w:p>
        </w:tc>
      </w:tr>
    </w:tbl>
    <w:tbl>
      <w:tblPr>
        <w:tblStyle w:val="TableGrid"/>
        <w:tblW w:w="10980" w:type="dxa"/>
        <w:tblInd w:w="-815" w:type="dxa"/>
        <w:tblLook w:val="04A0" w:firstRow="1" w:lastRow="0" w:firstColumn="1" w:lastColumn="0" w:noHBand="0" w:noVBand="1"/>
      </w:tblPr>
      <w:tblGrid>
        <w:gridCol w:w="10980"/>
      </w:tblGrid>
      <w:tr w:rsidR="00C75DED" w:rsidRPr="00885569" w14:paraId="1A12CFF9" w14:textId="77777777" w:rsidTr="00305671">
        <w:trPr>
          <w:trHeight w:val="3617"/>
        </w:trPr>
        <w:tc>
          <w:tcPr>
            <w:tcW w:w="10980" w:type="dxa"/>
          </w:tcPr>
          <w:p w14:paraId="5C367E98" w14:textId="77777777" w:rsidR="00C75DED" w:rsidRPr="00885569" w:rsidRDefault="00C75DED" w:rsidP="00885569">
            <w:pPr>
              <w:rPr>
                <w:b/>
                <w:bCs/>
              </w:rPr>
            </w:pPr>
            <w:r w:rsidRPr="00885569">
              <w:rPr>
                <w:b/>
                <w:bCs/>
              </w:rPr>
              <w:lastRenderedPageBreak/>
              <w:t>MCR after Trueblood Enhancements</w:t>
            </w:r>
          </w:p>
          <w:p w14:paraId="5BD94DCB" w14:textId="3F26A971" w:rsidR="00C75DED" w:rsidRPr="00305671" w:rsidRDefault="00C75DED" w:rsidP="00885569">
            <w:pPr>
              <w:rPr>
                <w:sz w:val="20"/>
                <w:szCs w:val="20"/>
              </w:rPr>
            </w:pPr>
            <w:r w:rsidRPr="00305671">
              <w:rPr>
                <w:sz w:val="20"/>
                <w:szCs w:val="20"/>
              </w:rPr>
              <w:t>Please demonstrate how each team used their Trueblood funds to enhance MCR services for each of the following topics and how does it differ from last report. If no enhancements or changes under that category, mark none.</w:t>
            </w:r>
          </w:p>
          <w:p w14:paraId="522CA56D" w14:textId="493F23A0" w:rsidR="00C75DED" w:rsidRPr="00305671" w:rsidRDefault="00C75DED" w:rsidP="00305671">
            <w:pPr>
              <w:pStyle w:val="ListParagraph"/>
              <w:numPr>
                <w:ilvl w:val="0"/>
                <w:numId w:val="7"/>
              </w:numPr>
              <w:rPr>
                <w:sz w:val="20"/>
                <w:szCs w:val="20"/>
              </w:rPr>
            </w:pPr>
            <w:r w:rsidRPr="00305671">
              <w:rPr>
                <w:sz w:val="20"/>
                <w:szCs w:val="20"/>
              </w:rPr>
              <w:t>Timeliness Response</w:t>
            </w:r>
            <w:r w:rsidR="00A12B8F">
              <w:rPr>
                <w:sz w:val="20"/>
                <w:szCs w:val="20"/>
              </w:rPr>
              <w:t>:</w:t>
            </w:r>
          </w:p>
          <w:p w14:paraId="658A328D" w14:textId="2ABE3DDF" w:rsidR="00C75DED" w:rsidRPr="00305671" w:rsidRDefault="00C75DED" w:rsidP="00885569">
            <w:pPr>
              <w:numPr>
                <w:ilvl w:val="0"/>
                <w:numId w:val="7"/>
              </w:numPr>
              <w:rPr>
                <w:sz w:val="20"/>
                <w:szCs w:val="20"/>
              </w:rPr>
            </w:pPr>
            <w:r w:rsidRPr="00305671">
              <w:rPr>
                <w:sz w:val="20"/>
                <w:szCs w:val="20"/>
              </w:rPr>
              <w:t>Increased Staffing</w:t>
            </w:r>
            <w:r w:rsidR="00A12B8F">
              <w:rPr>
                <w:sz w:val="20"/>
                <w:szCs w:val="20"/>
              </w:rPr>
              <w:t>:</w:t>
            </w:r>
          </w:p>
          <w:p w14:paraId="01C22690" w14:textId="5ACC4049" w:rsidR="00C75DED" w:rsidRPr="00305671" w:rsidRDefault="00C75DED" w:rsidP="00885569">
            <w:pPr>
              <w:numPr>
                <w:ilvl w:val="0"/>
                <w:numId w:val="7"/>
              </w:numPr>
              <w:rPr>
                <w:sz w:val="20"/>
                <w:szCs w:val="20"/>
              </w:rPr>
            </w:pPr>
            <w:r w:rsidRPr="00305671">
              <w:rPr>
                <w:sz w:val="20"/>
                <w:szCs w:val="20"/>
              </w:rPr>
              <w:t>Increased Service Hours</w:t>
            </w:r>
            <w:r w:rsidR="00A12B8F">
              <w:rPr>
                <w:sz w:val="20"/>
                <w:szCs w:val="20"/>
              </w:rPr>
              <w:t>:</w:t>
            </w:r>
          </w:p>
          <w:p w14:paraId="104E25E7" w14:textId="25E4C2A5" w:rsidR="00C75DED" w:rsidRPr="00305671" w:rsidRDefault="00C75DED" w:rsidP="00885569">
            <w:pPr>
              <w:numPr>
                <w:ilvl w:val="0"/>
                <w:numId w:val="7"/>
              </w:numPr>
              <w:rPr>
                <w:sz w:val="20"/>
                <w:szCs w:val="20"/>
              </w:rPr>
            </w:pPr>
            <w:r w:rsidRPr="00305671">
              <w:rPr>
                <w:sz w:val="20"/>
                <w:szCs w:val="20"/>
              </w:rPr>
              <w:t>MCR service delivery area expansion</w:t>
            </w:r>
            <w:r w:rsidR="00A12B8F">
              <w:rPr>
                <w:sz w:val="20"/>
                <w:szCs w:val="20"/>
              </w:rPr>
              <w:t>:</w:t>
            </w:r>
          </w:p>
          <w:p w14:paraId="2110BC41" w14:textId="6C62AFDF" w:rsidR="00C75DED" w:rsidRPr="00885569" w:rsidRDefault="00C75DED" w:rsidP="00885569">
            <w:pPr>
              <w:numPr>
                <w:ilvl w:val="0"/>
                <w:numId w:val="7"/>
              </w:numPr>
            </w:pPr>
            <w:r w:rsidRPr="00305671">
              <w:rPr>
                <w:sz w:val="20"/>
                <w:szCs w:val="20"/>
              </w:rPr>
              <w:t>Increased Coordination and communication with Law Enforcement</w:t>
            </w:r>
            <w:r w:rsidR="00A12B8F">
              <w:rPr>
                <w:sz w:val="20"/>
                <w:szCs w:val="20"/>
              </w:rPr>
              <w:t>:</w:t>
            </w:r>
          </w:p>
        </w:tc>
      </w:tr>
    </w:tbl>
    <w:p w14:paraId="3FBE5160" w14:textId="77777777" w:rsidR="00885569" w:rsidRDefault="00885569" w:rsidP="00487FCF"/>
    <w:sectPr w:rsidR="0088556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0D5E" w14:textId="77777777" w:rsidR="00E70D0C" w:rsidRDefault="00E70D0C" w:rsidP="000957F7">
      <w:pPr>
        <w:spacing w:after="0" w:line="240" w:lineRule="auto"/>
      </w:pPr>
      <w:r>
        <w:separator/>
      </w:r>
    </w:p>
  </w:endnote>
  <w:endnote w:type="continuationSeparator" w:id="0">
    <w:p w14:paraId="2F7023F9" w14:textId="77777777" w:rsidR="00E70D0C" w:rsidRDefault="00E70D0C" w:rsidP="000957F7">
      <w:pPr>
        <w:spacing w:after="0" w:line="240" w:lineRule="auto"/>
      </w:pPr>
      <w:r>
        <w:continuationSeparator/>
      </w:r>
    </w:p>
  </w:endnote>
  <w:endnote w:type="continuationNotice" w:id="1">
    <w:p w14:paraId="10793FF0" w14:textId="77777777" w:rsidR="00E70D0C" w:rsidRDefault="00E70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144549"/>
      <w:docPartObj>
        <w:docPartGallery w:val="Page Numbers (Bottom of Page)"/>
        <w:docPartUnique/>
      </w:docPartObj>
    </w:sdtPr>
    <w:sdtEndPr/>
    <w:sdtContent>
      <w:sdt>
        <w:sdtPr>
          <w:id w:val="1728636285"/>
          <w:docPartObj>
            <w:docPartGallery w:val="Page Numbers (Top of Page)"/>
            <w:docPartUnique/>
          </w:docPartObj>
        </w:sdtPr>
        <w:sdtEndPr/>
        <w:sdtContent>
          <w:p w14:paraId="14FD3305" w14:textId="77777777" w:rsidR="00F06068" w:rsidRDefault="00F06068">
            <w:pPr>
              <w:pStyle w:val="Footer"/>
              <w:jc w:val="center"/>
            </w:pPr>
          </w:p>
          <w:p w14:paraId="1DC155AD" w14:textId="60F43E0C" w:rsidR="00F06068" w:rsidRDefault="00F0606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B14E1D" w14:textId="77777777" w:rsidR="00F06068" w:rsidRDefault="00F06068" w:rsidP="00F06068">
    <w:pPr>
      <w:pStyle w:val="Footer"/>
      <w:rPr>
        <w:rFonts w:cs="Arial"/>
        <w:sz w:val="18"/>
        <w:szCs w:val="18"/>
      </w:rPr>
    </w:pPr>
  </w:p>
  <w:p w14:paraId="38647F56" w14:textId="7FB0B653" w:rsidR="00F06068" w:rsidRPr="00F06068" w:rsidRDefault="00F06068" w:rsidP="00F06068">
    <w:pPr>
      <w:pStyle w:val="Footer"/>
      <w:rPr>
        <w:rFonts w:cs="Arial"/>
        <w:sz w:val="18"/>
        <w:szCs w:val="18"/>
      </w:rPr>
    </w:pPr>
    <w:r w:rsidRPr="00F06068">
      <w:rPr>
        <w:rFonts w:cs="Arial"/>
        <w:sz w:val="18"/>
        <w:szCs w:val="18"/>
      </w:rPr>
      <w:t>BH-ASO</w:t>
    </w:r>
  </w:p>
  <w:p w14:paraId="0275C722" w14:textId="3F0EF420" w:rsidR="00F06068" w:rsidRPr="00F06068" w:rsidRDefault="00F06068" w:rsidP="00F06068">
    <w:pPr>
      <w:pStyle w:val="Footer"/>
      <w:rPr>
        <w:rFonts w:cs="Arial"/>
        <w:sz w:val="18"/>
        <w:szCs w:val="18"/>
      </w:rPr>
    </w:pPr>
    <w:r w:rsidRPr="00F06068">
      <w:rPr>
        <w:rFonts w:cs="Arial"/>
        <w:sz w:val="18"/>
        <w:szCs w:val="18"/>
      </w:rPr>
      <w:t xml:space="preserve">Enhanced Mobile Crisis Response </w:t>
    </w:r>
    <w:r w:rsidR="00566C29">
      <w:rPr>
        <w:rFonts w:cs="Arial"/>
        <w:sz w:val="18"/>
        <w:szCs w:val="18"/>
      </w:rPr>
      <w:t>Quarterly</w:t>
    </w:r>
    <w:r w:rsidR="00566C29" w:rsidRPr="00F06068">
      <w:rPr>
        <w:rFonts w:cs="Arial"/>
        <w:sz w:val="18"/>
        <w:szCs w:val="18"/>
      </w:rPr>
      <w:t xml:space="preserve"> </w:t>
    </w:r>
    <w:r w:rsidRPr="00F06068">
      <w:rPr>
        <w:rFonts w:cs="Arial"/>
        <w:sz w:val="18"/>
        <w:szCs w:val="18"/>
      </w:rPr>
      <w:t>report</w:t>
    </w:r>
  </w:p>
  <w:p w14:paraId="3F81160F" w14:textId="7FF22C7A" w:rsidR="00F06068" w:rsidRDefault="00E12F25" w:rsidP="00F06068">
    <w:pPr>
      <w:pStyle w:val="Footer"/>
    </w:pPr>
    <w:r>
      <w:rPr>
        <w:rFonts w:cs="Arial"/>
        <w:sz w:val="18"/>
        <w:szCs w:val="18"/>
      </w:rPr>
      <w:t xml:space="preserve">Rev. </w:t>
    </w:r>
    <w:r w:rsidR="00195CAC">
      <w:rPr>
        <w:rFonts w:cs="Arial"/>
        <w:sz w:val="18"/>
        <w:szCs w:val="18"/>
      </w:rPr>
      <w:t>10-5-22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FFB2" w14:textId="77777777" w:rsidR="00E70D0C" w:rsidRDefault="00E70D0C" w:rsidP="000957F7">
      <w:pPr>
        <w:spacing w:after="0" w:line="240" w:lineRule="auto"/>
      </w:pPr>
      <w:r>
        <w:separator/>
      </w:r>
    </w:p>
  </w:footnote>
  <w:footnote w:type="continuationSeparator" w:id="0">
    <w:p w14:paraId="74C6D6A7" w14:textId="77777777" w:rsidR="00E70D0C" w:rsidRDefault="00E70D0C" w:rsidP="000957F7">
      <w:pPr>
        <w:spacing w:after="0" w:line="240" w:lineRule="auto"/>
      </w:pPr>
      <w:r>
        <w:continuationSeparator/>
      </w:r>
    </w:p>
  </w:footnote>
  <w:footnote w:type="continuationNotice" w:id="1">
    <w:p w14:paraId="444BE1C2" w14:textId="77777777" w:rsidR="00E70D0C" w:rsidRDefault="00E70D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543E" w14:textId="77777777" w:rsidR="00F06068" w:rsidRPr="00F06068" w:rsidRDefault="00F06068" w:rsidP="00F06068">
    <w:pPr>
      <w:pStyle w:val="Header"/>
      <w:jc w:val="center"/>
      <w:rPr>
        <w:b/>
        <w:bCs/>
      </w:rPr>
    </w:pPr>
    <w:r w:rsidRPr="00F06068">
      <w:rPr>
        <w:b/>
        <w:bCs/>
      </w:rPr>
      <w:t>HCA Trueblood Settlement</w:t>
    </w:r>
  </w:p>
  <w:p w14:paraId="2AD9B6E6" w14:textId="77777777" w:rsidR="00F06068" w:rsidRPr="00F06068" w:rsidRDefault="00F06068" w:rsidP="00F06068">
    <w:pPr>
      <w:pStyle w:val="Header"/>
      <w:jc w:val="center"/>
      <w:rPr>
        <w:b/>
        <w:bCs/>
      </w:rPr>
    </w:pPr>
    <w:r w:rsidRPr="00F06068">
      <w:rPr>
        <w:b/>
        <w:bCs/>
      </w:rPr>
      <w:t>Mobile Crisis Response</w:t>
    </w:r>
  </w:p>
  <w:p w14:paraId="7D4A705D" w14:textId="5D8059AD" w:rsidR="00F06068" w:rsidRDefault="00FD396D" w:rsidP="00305671">
    <w:pPr>
      <w:pStyle w:val="Header"/>
      <w:spacing w:after="360"/>
      <w:jc w:val="center"/>
      <w:rPr>
        <w:b/>
        <w:bCs/>
      </w:rPr>
    </w:pPr>
    <w:r>
      <w:rPr>
        <w:b/>
        <w:bCs/>
      </w:rPr>
      <w:t>Quarterly</w:t>
    </w:r>
    <w:r w:rsidRPr="00F06068">
      <w:rPr>
        <w:b/>
        <w:bCs/>
      </w:rPr>
      <w:t xml:space="preserve"> </w:t>
    </w:r>
    <w:r w:rsidR="00F06068" w:rsidRPr="00F06068">
      <w:rPr>
        <w:b/>
        <w:bCs/>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02D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BD349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CA6434"/>
    <w:multiLevelType w:val="hybridMultilevel"/>
    <w:tmpl w:val="97AC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E0BC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A6D3951"/>
    <w:multiLevelType w:val="hybridMultilevel"/>
    <w:tmpl w:val="FDE4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00CD4"/>
    <w:multiLevelType w:val="hybridMultilevel"/>
    <w:tmpl w:val="9AF6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A676E"/>
    <w:multiLevelType w:val="hybridMultilevel"/>
    <w:tmpl w:val="292499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71764902">
    <w:abstractNumId w:val="0"/>
  </w:num>
  <w:num w:numId="2" w16cid:durableId="1081291288">
    <w:abstractNumId w:val="6"/>
  </w:num>
  <w:num w:numId="3" w16cid:durableId="1590890769">
    <w:abstractNumId w:val="1"/>
  </w:num>
  <w:num w:numId="4" w16cid:durableId="1085152963">
    <w:abstractNumId w:val="3"/>
  </w:num>
  <w:num w:numId="5" w16cid:durableId="1619992406">
    <w:abstractNumId w:val="2"/>
  </w:num>
  <w:num w:numId="6" w16cid:durableId="1334257280">
    <w:abstractNumId w:val="5"/>
  </w:num>
  <w:num w:numId="7" w16cid:durableId="1213618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CF"/>
    <w:rsid w:val="00092934"/>
    <w:rsid w:val="000957F7"/>
    <w:rsid w:val="000E4B1A"/>
    <w:rsid w:val="00124731"/>
    <w:rsid w:val="00163C1C"/>
    <w:rsid w:val="00171E9F"/>
    <w:rsid w:val="00195CAC"/>
    <w:rsid w:val="00204824"/>
    <w:rsid w:val="002615F4"/>
    <w:rsid w:val="002F27DF"/>
    <w:rsid w:val="00305671"/>
    <w:rsid w:val="00367EC4"/>
    <w:rsid w:val="00383539"/>
    <w:rsid w:val="00395678"/>
    <w:rsid w:val="003B03A6"/>
    <w:rsid w:val="003D1FEF"/>
    <w:rsid w:val="003D32CF"/>
    <w:rsid w:val="00403302"/>
    <w:rsid w:val="004520CF"/>
    <w:rsid w:val="00487FCF"/>
    <w:rsid w:val="00566C29"/>
    <w:rsid w:val="005B167A"/>
    <w:rsid w:val="005C30B8"/>
    <w:rsid w:val="005F0E73"/>
    <w:rsid w:val="005F7FF1"/>
    <w:rsid w:val="00627B4A"/>
    <w:rsid w:val="006C19E1"/>
    <w:rsid w:val="006D0B84"/>
    <w:rsid w:val="00711C75"/>
    <w:rsid w:val="007937B7"/>
    <w:rsid w:val="007E5A57"/>
    <w:rsid w:val="007F6EE7"/>
    <w:rsid w:val="00875BDD"/>
    <w:rsid w:val="00885569"/>
    <w:rsid w:val="0096546B"/>
    <w:rsid w:val="009711F0"/>
    <w:rsid w:val="009F1C7C"/>
    <w:rsid w:val="00A12B8F"/>
    <w:rsid w:val="00A13EA9"/>
    <w:rsid w:val="00A62B0D"/>
    <w:rsid w:val="00AC59FF"/>
    <w:rsid w:val="00B25B8D"/>
    <w:rsid w:val="00B80EDA"/>
    <w:rsid w:val="00BA0A37"/>
    <w:rsid w:val="00BC453B"/>
    <w:rsid w:val="00BD1B59"/>
    <w:rsid w:val="00BD663F"/>
    <w:rsid w:val="00BE12AD"/>
    <w:rsid w:val="00C46ABB"/>
    <w:rsid w:val="00C75DED"/>
    <w:rsid w:val="00C95C0B"/>
    <w:rsid w:val="00CF2337"/>
    <w:rsid w:val="00D172BF"/>
    <w:rsid w:val="00D97131"/>
    <w:rsid w:val="00E12F25"/>
    <w:rsid w:val="00E14B69"/>
    <w:rsid w:val="00E70D0C"/>
    <w:rsid w:val="00E9006D"/>
    <w:rsid w:val="00EB124A"/>
    <w:rsid w:val="00F06068"/>
    <w:rsid w:val="00F10396"/>
    <w:rsid w:val="00F12337"/>
    <w:rsid w:val="00F30F94"/>
    <w:rsid w:val="00FD39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0B771"/>
  <w15:chartTrackingRefBased/>
  <w15:docId w15:val="{C97435D7-82AD-4FD4-B613-9B3DC9F7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2CF"/>
    <w:pPr>
      <w:spacing w:after="240" w:line="276"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D32CF"/>
    <w:pPr>
      <w:ind w:left="720"/>
    </w:pPr>
  </w:style>
  <w:style w:type="table" w:styleId="TableGrid">
    <w:name w:val="Table Grid"/>
    <w:basedOn w:val="TableNormal"/>
    <w:uiPriority w:val="39"/>
    <w:rsid w:val="00D97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D97131"/>
    <w:rPr>
      <w:rFonts w:ascii="Arial" w:eastAsia="Calibri" w:hAnsi="Arial" w:cs="Times New Roman"/>
    </w:rPr>
  </w:style>
  <w:style w:type="paragraph" w:styleId="Header">
    <w:name w:val="header"/>
    <w:basedOn w:val="Normal"/>
    <w:link w:val="HeaderChar"/>
    <w:uiPriority w:val="99"/>
    <w:unhideWhenUsed/>
    <w:rsid w:val="00F06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68"/>
    <w:rPr>
      <w:rFonts w:ascii="Arial" w:eastAsia="Calibri" w:hAnsi="Arial" w:cs="Times New Roman"/>
    </w:rPr>
  </w:style>
  <w:style w:type="paragraph" w:styleId="Footer">
    <w:name w:val="footer"/>
    <w:basedOn w:val="Normal"/>
    <w:link w:val="FooterChar"/>
    <w:uiPriority w:val="99"/>
    <w:unhideWhenUsed/>
    <w:rsid w:val="00F06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68"/>
    <w:rPr>
      <w:rFonts w:ascii="Arial" w:eastAsia="Calibri" w:hAnsi="Arial" w:cs="Times New Roman"/>
    </w:rPr>
  </w:style>
  <w:style w:type="character" w:styleId="CommentReference">
    <w:name w:val="annotation reference"/>
    <w:basedOn w:val="DefaultParagraphFont"/>
    <w:uiPriority w:val="99"/>
    <w:semiHidden/>
    <w:unhideWhenUsed/>
    <w:rsid w:val="00E14B69"/>
    <w:rPr>
      <w:sz w:val="16"/>
      <w:szCs w:val="16"/>
    </w:rPr>
  </w:style>
  <w:style w:type="paragraph" w:styleId="CommentText">
    <w:name w:val="annotation text"/>
    <w:basedOn w:val="Normal"/>
    <w:link w:val="CommentTextChar"/>
    <w:uiPriority w:val="99"/>
    <w:semiHidden/>
    <w:unhideWhenUsed/>
    <w:rsid w:val="00E14B69"/>
    <w:pPr>
      <w:spacing w:line="240" w:lineRule="auto"/>
    </w:pPr>
    <w:rPr>
      <w:sz w:val="20"/>
      <w:szCs w:val="20"/>
    </w:rPr>
  </w:style>
  <w:style w:type="character" w:customStyle="1" w:styleId="CommentTextChar">
    <w:name w:val="Comment Text Char"/>
    <w:basedOn w:val="DefaultParagraphFont"/>
    <w:link w:val="CommentText"/>
    <w:uiPriority w:val="99"/>
    <w:semiHidden/>
    <w:rsid w:val="00E14B6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E14B69"/>
    <w:rPr>
      <w:b/>
      <w:bCs/>
    </w:rPr>
  </w:style>
  <w:style w:type="character" w:customStyle="1" w:styleId="CommentSubjectChar">
    <w:name w:val="Comment Subject Char"/>
    <w:basedOn w:val="CommentTextChar"/>
    <w:link w:val="CommentSubject"/>
    <w:uiPriority w:val="99"/>
    <w:semiHidden/>
    <w:rsid w:val="00E14B69"/>
    <w:rPr>
      <w:rFonts w:ascii="Arial" w:eastAsia="Calibri" w:hAnsi="Arial" w:cs="Times New Roman"/>
      <w:b/>
      <w:bCs/>
      <w:sz w:val="20"/>
      <w:szCs w:val="20"/>
    </w:rPr>
  </w:style>
  <w:style w:type="paragraph" w:styleId="Revision">
    <w:name w:val="Revision"/>
    <w:hidden/>
    <w:uiPriority w:val="99"/>
    <w:semiHidden/>
    <w:rsid w:val="00487FCF"/>
    <w:pPr>
      <w:spacing w:after="0" w:line="240" w:lineRule="auto"/>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2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DBB78-EC69-4BE4-ADAA-F5F13FA46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8A3C55-7CAC-4180-A793-F79FEE859D9D}">
  <ds:schemaRef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2BB9AA2-D18F-4140-B95E-E3B5A28BB61D}">
  <ds:schemaRefs>
    <ds:schemaRef ds:uri="http://schemas.microsoft.com/sharepoint/v3/contenttype/forms"/>
  </ds:schemaRefs>
</ds:datastoreItem>
</file>

<file path=customXml/itemProps4.xml><?xml version="1.0" encoding="utf-8"?>
<ds:datastoreItem xmlns:ds="http://schemas.openxmlformats.org/officeDocument/2006/customXml" ds:itemID="{315E40F9-E4D9-49F5-9180-34C2CC9A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Enhanced mobile crisis response quarterly report</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Enhanced mobile crisis response quarterly report</dc:title>
  <dc:subject>Template for Mobile Crisis response reporitng</dc:subject>
  <dc:creator>Lewis, Keith</dc:creator>
  <cp:keywords/>
  <dc:description>Updated October 2023 by Keith Lewis for the January 2023 BH-ASO amendment.</dc:description>
  <cp:lastModifiedBy>Presnell, Cyndi (HCA)</cp:lastModifiedBy>
  <cp:revision>2</cp:revision>
  <dcterms:created xsi:type="dcterms:W3CDTF">2022-12-28T20:02:00Z</dcterms:created>
  <dcterms:modified xsi:type="dcterms:W3CDTF">2022-12-28T20:02:00Z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2021-02-26T23:50:21Z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0b7ff2eb-8453-4239-8def-cd42f7a6ae4f</vt:lpwstr>
  </property>
  <property fmtid="{D5CDD505-2E9C-101B-9397-08002B2CF9AE}" pid="8" name="MSIP_Label_1520fa42-cf58-4c22-8b93-58cf1d3bd1cb_ContentBits">
    <vt:lpwstr>0</vt:lpwstr>
  </property>
</Properties>
</file>