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7A3F6" w14:textId="77777777" w:rsidR="0020732B" w:rsidRPr="008A2989" w:rsidRDefault="0020732B" w:rsidP="0020732B">
      <w:pPr>
        <w:tabs>
          <w:tab w:val="left" w:pos="-720"/>
        </w:tabs>
        <w:suppressAutoHyphens/>
        <w:ind w:right="630"/>
        <w:rPr>
          <w:rFonts w:asciiTheme="minorHAnsi" w:hAnsiTheme="minorHAnsi" w:cstheme="minorHAnsi"/>
          <w:b/>
          <w:i/>
          <w:szCs w:val="28"/>
        </w:rPr>
      </w:pPr>
      <w:r w:rsidRPr="008A2989">
        <w:rPr>
          <w:rFonts w:asciiTheme="minorHAnsi" w:hAnsiTheme="minorHAnsi" w:cstheme="minorHAnsi"/>
          <w:b/>
          <w:i/>
          <w:szCs w:val="28"/>
        </w:rPr>
        <w:t>Qualified Health Home Lead Requested Disenrollment – Due Diligence</w:t>
      </w:r>
    </w:p>
    <w:p w14:paraId="39210C70" w14:textId="0622E77E" w:rsidR="0020732B" w:rsidRPr="008A2989" w:rsidRDefault="0020732B" w:rsidP="0020732B">
      <w:pPr>
        <w:tabs>
          <w:tab w:val="left" w:pos="-720"/>
        </w:tabs>
        <w:suppressAutoHyphens/>
        <w:spacing w:before="120"/>
        <w:ind w:right="634"/>
        <w:rPr>
          <w:rFonts w:asciiTheme="minorHAnsi" w:hAnsiTheme="minorHAnsi" w:cstheme="minorHAnsi"/>
          <w:b/>
          <w:i/>
          <w:sz w:val="28"/>
          <w:szCs w:val="28"/>
        </w:rPr>
      </w:pPr>
      <w:r w:rsidRPr="008A2989">
        <w:rPr>
          <w:rFonts w:asciiTheme="minorHAnsi" w:hAnsiTheme="minorHAnsi" w:cstheme="minorHAnsi"/>
          <w:sz w:val="22"/>
        </w:rPr>
        <w:t>When a Qualified Health Home Lead</w:t>
      </w:r>
      <w:r w:rsidR="00045E53" w:rsidRPr="008A2989">
        <w:rPr>
          <w:rFonts w:asciiTheme="minorHAnsi" w:hAnsiTheme="minorHAnsi" w:cstheme="minorHAnsi"/>
          <w:sz w:val="22"/>
        </w:rPr>
        <w:t>,</w:t>
      </w:r>
      <w:r w:rsidRPr="008A2989">
        <w:rPr>
          <w:rFonts w:asciiTheme="minorHAnsi" w:hAnsiTheme="minorHAnsi" w:cstheme="minorHAnsi"/>
          <w:sz w:val="22"/>
        </w:rPr>
        <w:t xml:space="preserve"> Care Coordination Organization or Care Coordinator is unable to contact a client, the Lead and HCA must follow standardized procedures to disenroll the client from the Health Home program</w:t>
      </w:r>
    </w:p>
    <w:p w14:paraId="43E6FFE0" w14:textId="77777777" w:rsidR="0020732B" w:rsidRPr="008A2989" w:rsidRDefault="0020732B" w:rsidP="0020732B">
      <w:pPr>
        <w:tabs>
          <w:tab w:val="left" w:pos="-720"/>
        </w:tabs>
        <w:suppressAutoHyphens/>
        <w:ind w:right="630"/>
        <w:rPr>
          <w:rFonts w:asciiTheme="minorHAnsi" w:hAnsiTheme="minorHAnsi" w:cstheme="minorHAnsi"/>
          <w:b/>
          <w:i/>
          <w:szCs w:val="28"/>
        </w:rPr>
      </w:pPr>
    </w:p>
    <w:p w14:paraId="7AC881E6" w14:textId="26DA5749" w:rsidR="0020732B" w:rsidRPr="008A2989" w:rsidRDefault="00001849" w:rsidP="008A2989">
      <w:pPr>
        <w:rPr>
          <w:rFonts w:asciiTheme="minorHAnsi" w:hAnsiTheme="minorHAnsi" w:cstheme="minorHAnsi"/>
          <w:b/>
          <w:i/>
          <w:szCs w:val="28"/>
        </w:rPr>
      </w:pPr>
      <w:r w:rsidRPr="008A2989">
        <w:rPr>
          <w:rFonts w:asciiTheme="minorHAnsi" w:hAnsiTheme="minorHAnsi" w:cstheme="minorHAnsi"/>
          <w:b/>
          <w:i/>
          <w:szCs w:val="28"/>
        </w:rPr>
        <w:t>Due Diligence Process</w:t>
      </w:r>
      <w:r w:rsidR="0020732B" w:rsidRPr="008A2989">
        <w:rPr>
          <w:rFonts w:asciiTheme="minorHAnsi" w:hAnsiTheme="minorHAnsi" w:cstheme="minorHAnsi"/>
          <w:b/>
          <w:i/>
          <w:szCs w:val="28"/>
        </w:rPr>
        <w:t>:</w:t>
      </w:r>
    </w:p>
    <w:p w14:paraId="792C4FE2" w14:textId="77777777" w:rsidR="0020732B" w:rsidRPr="008A2989" w:rsidRDefault="0020732B" w:rsidP="00207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3"/>
          <w:sz w:val="22"/>
        </w:rPr>
      </w:pPr>
    </w:p>
    <w:p w14:paraId="340190B5" w14:textId="77777777" w:rsidR="0020732B" w:rsidRPr="008A2989" w:rsidRDefault="0020732B" w:rsidP="00207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rPr>
      </w:pPr>
      <w:r w:rsidRPr="008A2989">
        <w:rPr>
          <w:rFonts w:asciiTheme="minorHAnsi" w:hAnsiTheme="minorHAnsi" w:cstheme="minorHAnsi"/>
          <w:spacing w:val="-3"/>
          <w:sz w:val="22"/>
        </w:rPr>
        <w:t xml:space="preserve">Qualified Health Home Leads (Lead) and HCA must follow </w:t>
      </w:r>
      <w:r w:rsidRPr="008A2989">
        <w:rPr>
          <w:rFonts w:asciiTheme="minorHAnsi" w:hAnsiTheme="minorHAnsi" w:cstheme="minorHAnsi"/>
          <w:sz w:val="22"/>
        </w:rPr>
        <w:t>these procedures when processing client disenrollments. The Lead must ensure Due Diligence is followed to contact the client.  All contacts and attempted contacts must be documented in the client’s case file.</w:t>
      </w:r>
    </w:p>
    <w:p w14:paraId="3B19301E" w14:textId="77777777" w:rsidR="0020732B" w:rsidRPr="008A2989" w:rsidRDefault="0020732B" w:rsidP="0020732B">
      <w:pPr>
        <w:rPr>
          <w:rFonts w:asciiTheme="minorHAnsi" w:hAnsiTheme="minorHAnsi" w:cstheme="minorHAnsi"/>
          <w:b/>
          <w:sz w:val="20"/>
          <w:szCs w:val="22"/>
          <w:u w:val="single"/>
        </w:rPr>
      </w:pPr>
    </w:p>
    <w:p w14:paraId="2617E6A1" w14:textId="422DAC83" w:rsidR="0020732B" w:rsidRPr="008A2989" w:rsidRDefault="00E50C01" w:rsidP="00001849">
      <w:pPr>
        <w:ind w:left="360"/>
        <w:rPr>
          <w:rFonts w:asciiTheme="minorHAnsi" w:hAnsiTheme="minorHAnsi" w:cstheme="minorHAnsi"/>
          <w:spacing w:val="-3"/>
          <w:sz w:val="22"/>
        </w:rPr>
      </w:pPr>
      <w:r w:rsidRPr="008A2989">
        <w:rPr>
          <w:rFonts w:asciiTheme="minorHAnsi" w:hAnsiTheme="minorHAnsi" w:cstheme="minorHAnsi"/>
          <w:b/>
          <w:spacing w:val="-3"/>
          <w:sz w:val="22"/>
        </w:rPr>
        <w:t xml:space="preserve">Step </w:t>
      </w:r>
      <w:r w:rsidR="00C631BB" w:rsidRPr="008A2989">
        <w:rPr>
          <w:rFonts w:asciiTheme="minorHAnsi" w:hAnsiTheme="minorHAnsi" w:cstheme="minorHAnsi"/>
          <w:b/>
          <w:spacing w:val="-3"/>
          <w:sz w:val="22"/>
        </w:rPr>
        <w:t>1.</w:t>
      </w:r>
      <w:r w:rsidR="00C631BB" w:rsidRPr="008A2989">
        <w:rPr>
          <w:rFonts w:asciiTheme="minorHAnsi" w:hAnsiTheme="minorHAnsi" w:cstheme="minorHAnsi"/>
          <w:spacing w:val="-3"/>
          <w:sz w:val="22"/>
        </w:rPr>
        <w:t xml:space="preserve">  Mail</w:t>
      </w:r>
      <w:r w:rsidR="0020732B" w:rsidRPr="008A2989">
        <w:rPr>
          <w:rFonts w:asciiTheme="minorHAnsi" w:hAnsiTheme="minorHAnsi" w:cstheme="minorHAnsi"/>
          <w:spacing w:val="-3"/>
          <w:sz w:val="22"/>
        </w:rPr>
        <w:t xml:space="preserve"> an HCA approved welcome letter prior to calling the client.  If the letter is returned, the Lead</w:t>
      </w:r>
      <w:r w:rsidRPr="008A2989">
        <w:rPr>
          <w:rFonts w:asciiTheme="minorHAnsi" w:hAnsiTheme="minorHAnsi" w:cstheme="minorHAnsi"/>
          <w:spacing w:val="-3"/>
          <w:sz w:val="22"/>
        </w:rPr>
        <w:t>/CCO</w:t>
      </w:r>
      <w:r w:rsidR="0020732B" w:rsidRPr="008A2989">
        <w:rPr>
          <w:rFonts w:asciiTheme="minorHAnsi" w:hAnsiTheme="minorHAnsi" w:cstheme="minorHAnsi"/>
          <w:spacing w:val="-3"/>
          <w:sz w:val="22"/>
        </w:rPr>
        <w:t xml:space="preserve"> must check alternate databases or resources to secure an updated address and mail a second welcome letter to the new address. </w:t>
      </w:r>
    </w:p>
    <w:p w14:paraId="1FDEC04D" w14:textId="77777777" w:rsidR="00E50C01" w:rsidRPr="008A2989" w:rsidRDefault="00E50C01" w:rsidP="00001849">
      <w:pPr>
        <w:ind w:left="360"/>
        <w:rPr>
          <w:rFonts w:asciiTheme="minorHAnsi" w:hAnsiTheme="minorHAnsi" w:cstheme="minorHAnsi"/>
          <w:spacing w:val="-3"/>
          <w:sz w:val="18"/>
        </w:rPr>
      </w:pPr>
    </w:p>
    <w:p w14:paraId="15BD373E" w14:textId="21535B8C" w:rsidR="00E50C01" w:rsidRPr="008A2989" w:rsidRDefault="00E50C01" w:rsidP="00001849">
      <w:pPr>
        <w:ind w:left="360"/>
        <w:rPr>
          <w:rFonts w:asciiTheme="minorHAnsi" w:hAnsiTheme="minorHAnsi" w:cstheme="minorHAnsi"/>
          <w:spacing w:val="-3"/>
          <w:sz w:val="22"/>
        </w:rPr>
      </w:pPr>
      <w:r w:rsidRPr="008A2989">
        <w:rPr>
          <w:rFonts w:asciiTheme="minorHAnsi" w:hAnsiTheme="minorHAnsi" w:cstheme="minorHAnsi"/>
          <w:b/>
          <w:spacing w:val="-3"/>
          <w:sz w:val="22"/>
        </w:rPr>
        <w:t>Step 2.</w:t>
      </w:r>
      <w:r w:rsidRPr="008A2989">
        <w:rPr>
          <w:rFonts w:asciiTheme="minorHAnsi" w:hAnsiTheme="minorHAnsi" w:cstheme="minorHAnsi"/>
          <w:spacing w:val="-3"/>
          <w:sz w:val="22"/>
        </w:rPr>
        <w:t xml:space="preserve">  HCA requires at least three (3) calls be attempted and documented.  The calls must be made on different days of the week and at different times of the day.  At least one call must be made each month for two (2) months following the initial attempts.</w:t>
      </w:r>
    </w:p>
    <w:p w14:paraId="739F9907" w14:textId="77777777" w:rsidR="00E50C01" w:rsidRPr="008A2989" w:rsidRDefault="00E50C01" w:rsidP="00001849">
      <w:pPr>
        <w:ind w:left="360"/>
        <w:rPr>
          <w:rFonts w:asciiTheme="minorHAnsi" w:hAnsiTheme="minorHAnsi" w:cstheme="minorHAnsi"/>
          <w:spacing w:val="-3"/>
          <w:sz w:val="18"/>
        </w:rPr>
      </w:pPr>
    </w:p>
    <w:p w14:paraId="17B300EB" w14:textId="600913C2" w:rsidR="00E50C01" w:rsidRPr="008A2989" w:rsidRDefault="00C631BB" w:rsidP="00001849">
      <w:pPr>
        <w:ind w:left="360"/>
        <w:rPr>
          <w:rFonts w:asciiTheme="minorHAnsi" w:hAnsiTheme="minorHAnsi" w:cstheme="minorHAnsi"/>
          <w:spacing w:val="-3"/>
          <w:sz w:val="22"/>
        </w:rPr>
      </w:pPr>
      <w:r w:rsidRPr="008A2989">
        <w:rPr>
          <w:rFonts w:asciiTheme="minorHAnsi" w:hAnsiTheme="minorHAnsi" w:cstheme="minorHAnsi"/>
          <w:b/>
          <w:spacing w:val="-3"/>
          <w:sz w:val="22"/>
        </w:rPr>
        <w:t>Step 3</w:t>
      </w:r>
      <w:r w:rsidR="00E50C01" w:rsidRPr="008A2989">
        <w:rPr>
          <w:rFonts w:asciiTheme="minorHAnsi" w:hAnsiTheme="minorHAnsi" w:cstheme="minorHAnsi"/>
          <w:b/>
          <w:spacing w:val="-3"/>
          <w:sz w:val="22"/>
        </w:rPr>
        <w:t>.</w:t>
      </w:r>
      <w:r w:rsidR="00E50C01" w:rsidRPr="008A2989">
        <w:rPr>
          <w:rFonts w:asciiTheme="minorHAnsi" w:hAnsiTheme="minorHAnsi" w:cstheme="minorHAnsi"/>
          <w:spacing w:val="-3"/>
          <w:sz w:val="22"/>
        </w:rPr>
        <w:t xml:space="preserve">  If the client cannot be contacted after 90 days from the effective date of enrollment and the above procedures have been followed, the Health Home Lead may request disenrollment of the client from the Health Home Program according to the Disenrollment Process below.  </w:t>
      </w:r>
    </w:p>
    <w:p w14:paraId="4CBE9216" w14:textId="45F7293D" w:rsidR="00E50C01" w:rsidRPr="008A2989" w:rsidRDefault="00E50C01" w:rsidP="0020732B">
      <w:pPr>
        <w:rPr>
          <w:rFonts w:asciiTheme="minorHAnsi" w:hAnsiTheme="minorHAnsi" w:cstheme="minorHAnsi"/>
          <w:sz w:val="20"/>
          <w:szCs w:val="22"/>
        </w:rPr>
      </w:pPr>
    </w:p>
    <w:p w14:paraId="721D6A9F" w14:textId="38154BEA" w:rsidR="00CE307A" w:rsidRPr="00001849" w:rsidRDefault="00CE307A" w:rsidP="00CE307A">
      <w:pPr>
        <w:rPr>
          <w:rFonts w:ascii="Calibri" w:hAnsi="Calibri" w:cs="Calibri"/>
          <w:color w:val="000000"/>
          <w:sz w:val="22"/>
          <w:szCs w:val="22"/>
        </w:rPr>
      </w:pPr>
      <w:r w:rsidRPr="008A2989">
        <w:rPr>
          <w:rFonts w:asciiTheme="minorHAnsi" w:hAnsiTheme="minorHAnsi" w:cstheme="minorHAnsi"/>
          <w:b/>
          <w:sz w:val="22"/>
          <w:szCs w:val="22"/>
        </w:rPr>
        <w:t>For Previously Engaged Clients:</w:t>
      </w:r>
      <w:r w:rsidR="00001849" w:rsidRPr="008A2989">
        <w:rPr>
          <w:rFonts w:asciiTheme="minorHAnsi" w:hAnsiTheme="minorHAnsi" w:cstheme="minorHAnsi"/>
          <w:b/>
          <w:sz w:val="22"/>
          <w:szCs w:val="22"/>
        </w:rPr>
        <w:t xml:space="preserve"> </w:t>
      </w:r>
      <w:r w:rsidRPr="00001849">
        <w:rPr>
          <w:rFonts w:ascii="Calibri" w:hAnsi="Calibri" w:cs="Calibri"/>
          <w:color w:val="000000"/>
          <w:sz w:val="22"/>
          <w:szCs w:val="22"/>
        </w:rPr>
        <w:t>The due diligence process may begin after one month of attempted contacts to meet the monthly face- to-face home visit requirement.   Example:  Face-to-face meeting with client in August, unable to contact client in September, begin the due diligence process in October starting with Step 2 above.</w:t>
      </w:r>
    </w:p>
    <w:p w14:paraId="7DF78254" w14:textId="0823D595" w:rsidR="0020732B" w:rsidRPr="008A2989" w:rsidRDefault="00CE307A" w:rsidP="0056369F">
      <w:pPr>
        <w:rPr>
          <w:rFonts w:asciiTheme="minorHAnsi" w:hAnsiTheme="minorHAnsi" w:cstheme="minorHAnsi"/>
          <w:b/>
          <w:sz w:val="20"/>
          <w:szCs w:val="22"/>
        </w:rPr>
      </w:pPr>
      <w:r w:rsidRPr="008A2989">
        <w:rPr>
          <w:rFonts w:ascii="Calibri" w:hAnsi="Calibri" w:cs="Calibri"/>
          <w:color w:val="1F497D"/>
          <w:sz w:val="20"/>
          <w:szCs w:val="22"/>
        </w:rPr>
        <w:t> </w:t>
      </w:r>
    </w:p>
    <w:p w14:paraId="1B4FDA89" w14:textId="77777777" w:rsidR="0020732B" w:rsidRPr="008A2989" w:rsidRDefault="0020732B" w:rsidP="0020732B">
      <w:pPr>
        <w:rPr>
          <w:rFonts w:asciiTheme="minorHAnsi" w:hAnsiTheme="minorHAnsi" w:cstheme="minorHAnsi"/>
          <w:sz w:val="22"/>
        </w:rPr>
      </w:pPr>
      <w:r w:rsidRPr="008A2989">
        <w:rPr>
          <w:rFonts w:asciiTheme="minorHAnsi" w:hAnsiTheme="minorHAnsi" w:cstheme="minorHAnsi"/>
          <w:b/>
          <w:sz w:val="22"/>
        </w:rPr>
        <w:t xml:space="preserve">NOTE:  </w:t>
      </w:r>
      <w:r w:rsidRPr="008A2989">
        <w:rPr>
          <w:rFonts w:asciiTheme="minorHAnsi" w:hAnsiTheme="minorHAnsi" w:cstheme="minorHAnsi"/>
          <w:sz w:val="22"/>
        </w:rPr>
        <w:t>Do not send the</w:t>
      </w:r>
      <w:r w:rsidRPr="008A2989">
        <w:rPr>
          <w:rFonts w:asciiTheme="minorHAnsi" w:hAnsiTheme="minorHAnsi" w:cstheme="minorHAnsi"/>
          <w:b/>
          <w:sz w:val="22"/>
        </w:rPr>
        <w:t xml:space="preserve"> HCA Opt-out Form </w:t>
      </w:r>
      <w:r w:rsidRPr="008A2989">
        <w:rPr>
          <w:rFonts w:asciiTheme="minorHAnsi" w:hAnsiTheme="minorHAnsi" w:cstheme="minorHAnsi"/>
          <w:sz w:val="22"/>
        </w:rPr>
        <w:t>unless specifically requested by the client.</w:t>
      </w:r>
    </w:p>
    <w:p w14:paraId="14D32E2A" w14:textId="77777777" w:rsidR="0020732B" w:rsidRPr="008A2989" w:rsidRDefault="0020732B" w:rsidP="0020732B">
      <w:pPr>
        <w:rPr>
          <w:rFonts w:asciiTheme="minorHAnsi" w:hAnsiTheme="minorHAnsi" w:cstheme="minorHAnsi"/>
          <w:szCs w:val="28"/>
        </w:rPr>
      </w:pPr>
    </w:p>
    <w:p w14:paraId="049EAF31" w14:textId="77777777" w:rsidR="0020732B" w:rsidRPr="008A2989" w:rsidRDefault="0020732B" w:rsidP="0020732B">
      <w:pPr>
        <w:rPr>
          <w:rFonts w:asciiTheme="minorHAnsi" w:hAnsiTheme="minorHAnsi" w:cstheme="minorHAnsi"/>
          <w:b/>
          <w:i/>
          <w:szCs w:val="28"/>
        </w:rPr>
      </w:pPr>
      <w:r w:rsidRPr="008A2989">
        <w:rPr>
          <w:rFonts w:asciiTheme="minorHAnsi" w:hAnsiTheme="minorHAnsi" w:cstheme="minorHAnsi"/>
          <w:b/>
          <w:i/>
          <w:szCs w:val="28"/>
        </w:rPr>
        <w:t xml:space="preserve">Disenrollment Process:  </w:t>
      </w:r>
    </w:p>
    <w:p w14:paraId="56B3AB8A" w14:textId="77777777" w:rsidR="0020732B" w:rsidRPr="008A2989" w:rsidRDefault="0020732B" w:rsidP="0020732B">
      <w:pPr>
        <w:rPr>
          <w:rFonts w:asciiTheme="minorHAnsi" w:hAnsiTheme="minorHAnsi" w:cstheme="minorHAnsi"/>
          <w:b/>
          <w:sz w:val="22"/>
          <w:szCs w:val="28"/>
        </w:rPr>
      </w:pPr>
    </w:p>
    <w:p w14:paraId="45C8A493" w14:textId="7646A27C" w:rsidR="0020732B" w:rsidRPr="008A2989" w:rsidRDefault="00093B20" w:rsidP="0020732B">
      <w:pPr>
        <w:pStyle w:val="ListParagraph"/>
        <w:numPr>
          <w:ilvl w:val="0"/>
          <w:numId w:val="1"/>
        </w:numPr>
        <w:rPr>
          <w:rFonts w:asciiTheme="minorHAnsi" w:hAnsiTheme="minorHAnsi" w:cstheme="minorHAnsi"/>
          <w:spacing w:val="-3"/>
          <w:sz w:val="22"/>
        </w:rPr>
      </w:pPr>
      <w:r w:rsidRPr="008A2989">
        <w:rPr>
          <w:rFonts w:asciiTheme="minorHAnsi" w:hAnsiTheme="minorHAnsi" w:cstheme="minorHAnsi"/>
          <w:b/>
          <w:sz w:val="22"/>
        </w:rPr>
        <w:t>CCO or Lead</w:t>
      </w:r>
      <w:r w:rsidRPr="008A2989">
        <w:rPr>
          <w:rFonts w:asciiTheme="minorHAnsi" w:hAnsiTheme="minorHAnsi" w:cstheme="minorHAnsi"/>
          <w:sz w:val="20"/>
          <w:szCs w:val="22"/>
        </w:rPr>
        <w:t xml:space="preserve"> </w:t>
      </w:r>
      <w:r w:rsidR="0020732B" w:rsidRPr="008A2989">
        <w:rPr>
          <w:rFonts w:asciiTheme="minorHAnsi" w:hAnsiTheme="minorHAnsi" w:cstheme="minorHAnsi"/>
          <w:sz w:val="20"/>
          <w:szCs w:val="22"/>
        </w:rPr>
        <w:t xml:space="preserve">- </w:t>
      </w:r>
      <w:r w:rsidR="0020732B" w:rsidRPr="008A2989">
        <w:rPr>
          <w:rFonts w:asciiTheme="minorHAnsi" w:hAnsiTheme="minorHAnsi" w:cstheme="minorHAnsi"/>
          <w:spacing w:val="-3"/>
          <w:sz w:val="22"/>
        </w:rPr>
        <w:t xml:space="preserve">If the CCO is unable to connect with the client following the above activities, inform the Lead.  </w:t>
      </w:r>
    </w:p>
    <w:p w14:paraId="3D5E7445" w14:textId="77777777" w:rsidR="0020732B" w:rsidRPr="008A2989" w:rsidRDefault="0020732B" w:rsidP="0020732B">
      <w:pPr>
        <w:pStyle w:val="ListParagraph"/>
        <w:numPr>
          <w:ilvl w:val="0"/>
          <w:numId w:val="1"/>
        </w:numPr>
        <w:rPr>
          <w:rFonts w:asciiTheme="minorHAnsi" w:hAnsiTheme="minorHAnsi" w:cstheme="minorHAnsi"/>
          <w:spacing w:val="-3"/>
          <w:sz w:val="22"/>
        </w:rPr>
      </w:pPr>
      <w:r w:rsidRPr="008A2989">
        <w:rPr>
          <w:rFonts w:asciiTheme="minorHAnsi" w:hAnsiTheme="minorHAnsi" w:cstheme="minorHAnsi"/>
          <w:b/>
          <w:spacing w:val="-3"/>
          <w:sz w:val="22"/>
        </w:rPr>
        <w:t>Lead -</w:t>
      </w:r>
      <w:r w:rsidRPr="008A2989">
        <w:rPr>
          <w:rFonts w:asciiTheme="minorHAnsi" w:hAnsiTheme="minorHAnsi" w:cstheme="minorHAnsi"/>
          <w:spacing w:val="-3"/>
          <w:sz w:val="22"/>
        </w:rPr>
        <w:t xml:space="preserve"> If the Lead determines the client should be disenrolled from the Health Home program, the Lead will:</w:t>
      </w:r>
    </w:p>
    <w:p w14:paraId="6B9F3EE0" w14:textId="501451CC" w:rsidR="0020732B" w:rsidRPr="008A2989" w:rsidRDefault="0020732B" w:rsidP="00093B20">
      <w:pPr>
        <w:pStyle w:val="ListParagraph"/>
        <w:numPr>
          <w:ilvl w:val="1"/>
          <w:numId w:val="1"/>
        </w:numPr>
        <w:rPr>
          <w:rFonts w:asciiTheme="minorHAnsi" w:hAnsiTheme="minorHAnsi" w:cstheme="minorHAnsi"/>
          <w:spacing w:val="-3"/>
          <w:sz w:val="22"/>
        </w:rPr>
      </w:pPr>
      <w:r w:rsidRPr="008A2989">
        <w:rPr>
          <w:rFonts w:asciiTheme="minorHAnsi" w:hAnsiTheme="minorHAnsi" w:cstheme="minorHAnsi"/>
          <w:spacing w:val="-3"/>
          <w:sz w:val="22"/>
        </w:rPr>
        <w:t xml:space="preserve">Send the Health Home Disenrollment letter to the last known address of the client </w:t>
      </w:r>
      <w:r w:rsidR="00045E53" w:rsidRPr="008A2989">
        <w:rPr>
          <w:rFonts w:asciiTheme="minorHAnsi" w:hAnsiTheme="minorHAnsi" w:cstheme="minorHAnsi"/>
          <w:spacing w:val="-3"/>
          <w:sz w:val="22"/>
        </w:rPr>
        <w:t>giving</w:t>
      </w:r>
      <w:r w:rsidRPr="008A2989">
        <w:rPr>
          <w:rFonts w:asciiTheme="minorHAnsi" w:hAnsiTheme="minorHAnsi" w:cstheme="minorHAnsi"/>
          <w:spacing w:val="-3"/>
          <w:sz w:val="22"/>
        </w:rPr>
        <w:t xml:space="preserve"> the client at least ten (10) business days to reply.</w:t>
      </w:r>
      <w:r w:rsidR="00093B20" w:rsidRPr="008A2989">
        <w:rPr>
          <w:rFonts w:asciiTheme="minorHAnsi" w:hAnsiTheme="minorHAnsi" w:cstheme="minorHAnsi"/>
          <w:spacing w:val="-3"/>
          <w:sz w:val="22"/>
        </w:rPr>
        <w:t xml:space="preserve"> Place a copy into the clients file.</w:t>
      </w:r>
    </w:p>
    <w:p w14:paraId="573BFFF9" w14:textId="77777777" w:rsidR="0020732B" w:rsidRPr="008A2989" w:rsidRDefault="0020732B" w:rsidP="0020732B">
      <w:pPr>
        <w:pStyle w:val="ListParagraph"/>
        <w:numPr>
          <w:ilvl w:val="1"/>
          <w:numId w:val="1"/>
        </w:numPr>
        <w:rPr>
          <w:rFonts w:asciiTheme="minorHAnsi" w:hAnsiTheme="minorHAnsi" w:cstheme="minorHAnsi"/>
          <w:spacing w:val="-3"/>
          <w:sz w:val="22"/>
        </w:rPr>
      </w:pPr>
      <w:r w:rsidRPr="008A2989">
        <w:rPr>
          <w:rFonts w:asciiTheme="minorHAnsi" w:hAnsiTheme="minorHAnsi" w:cstheme="minorHAnsi"/>
          <w:spacing w:val="-3"/>
          <w:sz w:val="22"/>
        </w:rPr>
        <w:t xml:space="preserve">If the client contacts the Lead and wants to participate in the program before the disenrollment is effective, the Lead must reassign them via a “warm hand-off” to a CC.  </w:t>
      </w:r>
    </w:p>
    <w:p w14:paraId="2F7B8EF0" w14:textId="2F64EF8B" w:rsidR="00CF4BBD" w:rsidRPr="008A2989" w:rsidRDefault="0020732B" w:rsidP="00502D63">
      <w:pPr>
        <w:pStyle w:val="ListParagraph"/>
        <w:numPr>
          <w:ilvl w:val="0"/>
          <w:numId w:val="6"/>
        </w:numPr>
        <w:contextualSpacing w:val="0"/>
        <w:rPr>
          <w:rFonts w:asciiTheme="minorHAnsi" w:hAnsiTheme="minorHAnsi" w:cstheme="minorHAnsi"/>
          <w:spacing w:val="-3"/>
          <w:sz w:val="22"/>
        </w:rPr>
      </w:pPr>
      <w:r w:rsidRPr="008A2989">
        <w:rPr>
          <w:rFonts w:asciiTheme="minorHAnsi" w:hAnsiTheme="minorHAnsi" w:cstheme="minorHAnsi"/>
          <w:spacing w:val="-3"/>
          <w:sz w:val="22"/>
        </w:rPr>
        <w:t xml:space="preserve">If there is no response to the letter, </w:t>
      </w:r>
      <w:r w:rsidR="00333F20" w:rsidRPr="008A2989">
        <w:rPr>
          <w:rFonts w:asciiTheme="minorHAnsi" w:hAnsiTheme="minorHAnsi" w:cstheme="minorHAnsi"/>
          <w:spacing w:val="-3"/>
          <w:sz w:val="22"/>
        </w:rPr>
        <w:t xml:space="preserve">fill out </w:t>
      </w:r>
      <w:r w:rsidRPr="008A2989">
        <w:rPr>
          <w:rFonts w:asciiTheme="minorHAnsi" w:hAnsiTheme="minorHAnsi" w:cstheme="minorHAnsi"/>
          <w:spacing w:val="-3"/>
          <w:sz w:val="22"/>
        </w:rPr>
        <w:t xml:space="preserve">the </w:t>
      </w:r>
      <w:r w:rsidR="00333F20" w:rsidRPr="008A2989">
        <w:rPr>
          <w:rFonts w:asciiTheme="minorHAnsi" w:hAnsiTheme="minorHAnsi" w:cstheme="minorHAnsi"/>
          <w:spacing w:val="-3"/>
          <w:sz w:val="22"/>
        </w:rPr>
        <w:t xml:space="preserve">Health Home Due Diligence Registry, which is to be submitted monthly to </w:t>
      </w:r>
      <w:r w:rsidRPr="008A2989">
        <w:rPr>
          <w:rFonts w:asciiTheme="minorHAnsi" w:hAnsiTheme="minorHAnsi" w:cstheme="minorHAnsi"/>
          <w:spacing w:val="-3"/>
          <w:sz w:val="22"/>
        </w:rPr>
        <w:t>HCA via secure email</w:t>
      </w:r>
      <w:r w:rsidR="00333F20" w:rsidRPr="008A2989">
        <w:rPr>
          <w:rFonts w:asciiTheme="minorHAnsi" w:hAnsiTheme="minorHAnsi" w:cstheme="minorHAnsi"/>
          <w:spacing w:val="-3"/>
          <w:sz w:val="22"/>
        </w:rPr>
        <w:t>. Note that the Health Home Due Diligence Registry does not replace the required documentation in the client’s case file</w:t>
      </w:r>
    </w:p>
    <w:p w14:paraId="29808D8F" w14:textId="60C70B8A" w:rsidR="0020732B" w:rsidRPr="008A2989" w:rsidRDefault="0020732B" w:rsidP="0020732B">
      <w:pPr>
        <w:pStyle w:val="ListParagraph"/>
        <w:numPr>
          <w:ilvl w:val="0"/>
          <w:numId w:val="1"/>
        </w:numPr>
        <w:rPr>
          <w:rFonts w:asciiTheme="minorHAnsi" w:hAnsiTheme="minorHAnsi" w:cstheme="minorHAnsi"/>
          <w:spacing w:val="-3"/>
          <w:sz w:val="22"/>
        </w:rPr>
      </w:pPr>
      <w:r w:rsidRPr="008A2989">
        <w:rPr>
          <w:rFonts w:asciiTheme="minorHAnsi" w:hAnsiTheme="minorHAnsi" w:cstheme="minorHAnsi"/>
          <w:b/>
          <w:sz w:val="22"/>
        </w:rPr>
        <w:t>HCA -</w:t>
      </w:r>
      <w:r w:rsidRPr="008A2989">
        <w:rPr>
          <w:rFonts w:asciiTheme="minorHAnsi" w:hAnsiTheme="minorHAnsi" w:cstheme="minorHAnsi"/>
          <w:sz w:val="20"/>
          <w:szCs w:val="22"/>
        </w:rPr>
        <w:t xml:space="preserve"> </w:t>
      </w:r>
      <w:r w:rsidRPr="008A2989">
        <w:rPr>
          <w:rFonts w:asciiTheme="minorHAnsi" w:hAnsiTheme="minorHAnsi" w:cstheme="minorHAnsi"/>
          <w:spacing w:val="-3"/>
          <w:sz w:val="22"/>
        </w:rPr>
        <w:t xml:space="preserve">When HCA receives the </w:t>
      </w:r>
      <w:r w:rsidR="00333F20" w:rsidRPr="008A2989">
        <w:rPr>
          <w:rFonts w:asciiTheme="minorHAnsi" w:hAnsiTheme="minorHAnsi" w:cstheme="minorHAnsi"/>
          <w:spacing w:val="-3"/>
          <w:sz w:val="22"/>
        </w:rPr>
        <w:t>Health Home Due Diligence Registry</w:t>
      </w:r>
      <w:r w:rsidR="00333F20" w:rsidRPr="008A2989" w:rsidDel="00333F20">
        <w:rPr>
          <w:rFonts w:asciiTheme="minorHAnsi" w:hAnsiTheme="minorHAnsi" w:cstheme="minorHAnsi"/>
          <w:spacing w:val="-3"/>
          <w:sz w:val="22"/>
        </w:rPr>
        <w:t xml:space="preserve"> </w:t>
      </w:r>
      <w:r w:rsidRPr="008A2989">
        <w:rPr>
          <w:rFonts w:asciiTheme="minorHAnsi" w:hAnsiTheme="minorHAnsi" w:cstheme="minorHAnsi"/>
          <w:spacing w:val="-3"/>
          <w:sz w:val="22"/>
        </w:rPr>
        <w:t xml:space="preserve">from the Lead, the client’s Health Home segment will be ended and enrollment terminated. </w:t>
      </w:r>
    </w:p>
    <w:p w14:paraId="43C36118" w14:textId="77777777" w:rsidR="0020732B" w:rsidRPr="008A2989" w:rsidRDefault="0020732B" w:rsidP="0020732B">
      <w:pPr>
        <w:rPr>
          <w:rFonts w:asciiTheme="minorHAnsi" w:hAnsiTheme="minorHAnsi" w:cstheme="minorHAnsi"/>
          <w:spacing w:val="-3"/>
          <w:sz w:val="22"/>
        </w:rPr>
      </w:pPr>
    </w:p>
    <w:p w14:paraId="3970ADC3" w14:textId="0A1E9DA8" w:rsidR="0020732B" w:rsidRPr="008A2989" w:rsidRDefault="0020732B" w:rsidP="0020732B">
      <w:pPr>
        <w:rPr>
          <w:rFonts w:asciiTheme="minorHAnsi" w:hAnsiTheme="minorHAnsi" w:cstheme="minorHAnsi"/>
          <w:spacing w:val="-3"/>
          <w:sz w:val="22"/>
        </w:rPr>
      </w:pPr>
      <w:r w:rsidRPr="008A2989">
        <w:rPr>
          <w:rFonts w:asciiTheme="minorHAnsi" w:hAnsiTheme="minorHAnsi" w:cstheme="minorHAnsi"/>
          <w:b/>
          <w:sz w:val="22"/>
        </w:rPr>
        <w:t>NOTE:</w:t>
      </w:r>
      <w:r w:rsidRPr="008A2989">
        <w:rPr>
          <w:rFonts w:asciiTheme="minorHAnsi" w:hAnsiTheme="minorHAnsi" w:cstheme="minorHAnsi"/>
          <w:sz w:val="20"/>
          <w:szCs w:val="22"/>
        </w:rPr>
        <w:t xml:space="preserve">  </w:t>
      </w:r>
      <w:r w:rsidRPr="008A2989">
        <w:rPr>
          <w:rFonts w:asciiTheme="minorHAnsi" w:hAnsiTheme="minorHAnsi" w:cstheme="minorHAnsi"/>
          <w:spacing w:val="-3"/>
          <w:sz w:val="22"/>
        </w:rPr>
        <w:t xml:space="preserve">A Due Diligence Disenrollment from the Health Home program is not considered an Opt-Out.   If the client asks to be reenrolled and meets Health Home eligibility </w:t>
      </w:r>
      <w:r w:rsidR="0056369F" w:rsidRPr="008A2989">
        <w:rPr>
          <w:rFonts w:asciiTheme="minorHAnsi" w:hAnsiTheme="minorHAnsi" w:cstheme="minorHAnsi"/>
          <w:spacing w:val="-3"/>
          <w:sz w:val="22"/>
        </w:rPr>
        <w:t>criteria,</w:t>
      </w:r>
      <w:r w:rsidRPr="008A2989">
        <w:rPr>
          <w:rFonts w:asciiTheme="minorHAnsi" w:hAnsiTheme="minorHAnsi" w:cstheme="minorHAnsi"/>
          <w:spacing w:val="-3"/>
          <w:sz w:val="22"/>
        </w:rPr>
        <w:t xml:space="preserve"> they will be reenrolled.  If after one year the client meets the Health Home eligibility </w:t>
      </w:r>
      <w:r w:rsidR="0056369F" w:rsidRPr="008A2989">
        <w:rPr>
          <w:rFonts w:asciiTheme="minorHAnsi" w:hAnsiTheme="minorHAnsi" w:cstheme="minorHAnsi"/>
          <w:spacing w:val="-3"/>
          <w:sz w:val="22"/>
        </w:rPr>
        <w:t>criteria,</w:t>
      </w:r>
      <w:r w:rsidRPr="008A2989">
        <w:rPr>
          <w:rFonts w:asciiTheme="minorHAnsi" w:hAnsiTheme="minorHAnsi" w:cstheme="minorHAnsi"/>
          <w:spacing w:val="-3"/>
          <w:sz w:val="22"/>
        </w:rPr>
        <w:t xml:space="preserve"> they may be passively reenrolled.     </w:t>
      </w:r>
    </w:p>
    <w:p w14:paraId="32C6D5BA" w14:textId="77777777" w:rsidR="00641EFC" w:rsidRPr="008A2989" w:rsidRDefault="00641EFC">
      <w:pPr>
        <w:rPr>
          <w:sz w:val="22"/>
        </w:rPr>
      </w:pPr>
      <w:bookmarkStart w:id="0" w:name="_GoBack"/>
      <w:bookmarkEnd w:id="0"/>
    </w:p>
    <w:sectPr w:rsidR="00641EFC" w:rsidRPr="008A2989" w:rsidSect="008A2989">
      <w:headerReference w:type="default" r:id="rId8"/>
      <w:footerReference w:type="default" r:id="rId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8F7F1" w14:textId="77777777" w:rsidR="00C9096B" w:rsidRDefault="00C9096B" w:rsidP="00F71552">
      <w:r>
        <w:separator/>
      </w:r>
    </w:p>
  </w:endnote>
  <w:endnote w:type="continuationSeparator" w:id="0">
    <w:p w14:paraId="60829B5D" w14:textId="77777777" w:rsidR="00C9096B" w:rsidRDefault="00C9096B" w:rsidP="00F7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B96FF" w14:textId="6AA92A57" w:rsidR="00C631BB" w:rsidRPr="000E57D8" w:rsidRDefault="007E4AB2" w:rsidP="007B49BB">
    <w:pPr>
      <w:pStyle w:val="Footer"/>
      <w:jc w:val="center"/>
      <w:rPr>
        <w:rFonts w:asciiTheme="minorHAnsi" w:hAnsiTheme="minorHAnsi" w:cstheme="minorHAnsi"/>
        <w:sz w:val="22"/>
      </w:rPr>
    </w:pPr>
    <w:r w:rsidRPr="000E57D8">
      <w:rPr>
        <w:rFonts w:asciiTheme="minorHAnsi" w:hAnsiTheme="minorHAnsi" w:cstheme="minorHAnsi"/>
        <w:sz w:val="22"/>
      </w:rPr>
      <w:t>Due Diligence Guide</w:t>
    </w:r>
    <w:r w:rsidRPr="000E57D8">
      <w:rPr>
        <w:rFonts w:asciiTheme="minorHAnsi" w:hAnsiTheme="minorHAnsi" w:cstheme="minorHAnsi"/>
        <w:sz w:val="22"/>
      </w:rPr>
      <w:ptab w:relativeTo="margin" w:alignment="center" w:leader="none"/>
    </w:r>
    <w:r w:rsidRPr="000E57D8">
      <w:rPr>
        <w:rFonts w:asciiTheme="minorHAnsi" w:hAnsiTheme="minorHAnsi" w:cstheme="minorHAnsi"/>
        <w:sz w:val="22"/>
      </w:rPr>
      <w:ptab w:relativeTo="margin" w:alignment="right" w:leader="none"/>
    </w:r>
    <w:r w:rsidRPr="000E57D8">
      <w:rPr>
        <w:rFonts w:asciiTheme="minorHAnsi" w:hAnsiTheme="minorHAnsi" w:cstheme="minorHAnsi"/>
        <w:sz w:val="22"/>
      </w:rPr>
      <w:t>Updated 11/</w:t>
    </w:r>
    <w:r w:rsidR="000E57D8" w:rsidRPr="000E57D8">
      <w:rPr>
        <w:rFonts w:asciiTheme="minorHAnsi" w:hAnsiTheme="minorHAnsi" w:cstheme="minorHAnsi"/>
        <w:sz w:val="22"/>
      </w:rPr>
      <w:t>0</w:t>
    </w:r>
    <w:r w:rsidR="000E57D8">
      <w:rPr>
        <w:rFonts w:asciiTheme="minorHAnsi" w:hAnsiTheme="minorHAnsi" w:cstheme="minorHAnsi"/>
      </w:rPr>
      <w:t>8</w:t>
    </w:r>
    <w:r w:rsidRPr="000E57D8">
      <w:rPr>
        <w:rFonts w:asciiTheme="minorHAnsi" w:hAnsiTheme="minorHAnsi" w:cstheme="minorHAnsi"/>
        <w:sz w:val="22"/>
      </w:rPr>
      <w:t>/17</w:t>
    </w:r>
  </w:p>
  <w:p w14:paraId="39303FE9" w14:textId="5A8C2F2C" w:rsidR="007E4AB2" w:rsidRPr="0056369F" w:rsidRDefault="007E4AB2" w:rsidP="007B49BB">
    <w:pPr>
      <w:pStyle w:val="Foote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EB350" w14:textId="77777777" w:rsidR="00C9096B" w:rsidRDefault="00C9096B" w:rsidP="00F71552">
      <w:r>
        <w:separator/>
      </w:r>
    </w:p>
  </w:footnote>
  <w:footnote w:type="continuationSeparator" w:id="0">
    <w:p w14:paraId="407C0CB2" w14:textId="77777777" w:rsidR="00C9096B" w:rsidRDefault="00C9096B" w:rsidP="00F7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DE89" w14:textId="544A53C9" w:rsidR="00C631BB" w:rsidRDefault="00C631BB" w:rsidP="0056369F">
    <w:pPr>
      <w:pStyle w:val="Header"/>
      <w:pBdr>
        <w:bottom w:val="thickThinSmallGap" w:sz="24" w:space="1" w:color="auto"/>
      </w:pBdr>
      <w:jc w:val="center"/>
    </w:pPr>
    <w:r>
      <w:rPr>
        <w:noProof/>
      </w:rPr>
      <w:drawing>
        <wp:inline distT="0" distB="0" distL="0" distR="0" wp14:anchorId="5B3FF759" wp14:editId="4000FAAE">
          <wp:extent cx="2545690" cy="424282"/>
          <wp:effectExtent l="0" t="0" r="7620" b="0"/>
          <wp:docPr id="2" name="Picture 2" descr="C:\Users\lozari\AppData\Local\Microsoft\Windows\Temporary Internet Files\Content.Outlook\XTSQY6S1\HealthHomeProgram-logo-modified (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zari\AppData\Local\Microsoft\Windows\Temporary Internet Files\Content.Outlook\XTSQY6S1\HealthHomeProgram-logo-modified (2)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6498" cy="427750"/>
                  </a:xfrm>
                  <a:prstGeom prst="rect">
                    <a:avLst/>
                  </a:prstGeom>
                  <a:noFill/>
                  <a:ln>
                    <a:noFill/>
                  </a:ln>
                </pic:spPr>
              </pic:pic>
            </a:graphicData>
          </a:graphic>
        </wp:inline>
      </w:drawing>
    </w:r>
  </w:p>
  <w:p w14:paraId="40122A13" w14:textId="77777777" w:rsidR="00C631BB" w:rsidRDefault="00C63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B288F"/>
    <w:multiLevelType w:val="hybridMultilevel"/>
    <w:tmpl w:val="151A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17142"/>
    <w:multiLevelType w:val="hybridMultilevel"/>
    <w:tmpl w:val="8EBEA2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C876244"/>
    <w:multiLevelType w:val="hybridMultilevel"/>
    <w:tmpl w:val="C7360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813E4"/>
    <w:multiLevelType w:val="hybridMultilevel"/>
    <w:tmpl w:val="305247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B3A24"/>
    <w:multiLevelType w:val="hybridMultilevel"/>
    <w:tmpl w:val="84645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C1427"/>
    <w:multiLevelType w:val="hybridMultilevel"/>
    <w:tmpl w:val="7B8E9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2B"/>
    <w:rsid w:val="00001849"/>
    <w:rsid w:val="00045E53"/>
    <w:rsid w:val="00083F52"/>
    <w:rsid w:val="00093B20"/>
    <w:rsid w:val="000A42EC"/>
    <w:rsid w:val="000A5A64"/>
    <w:rsid w:val="000E57D8"/>
    <w:rsid w:val="00184895"/>
    <w:rsid w:val="0019218A"/>
    <w:rsid w:val="0020732B"/>
    <w:rsid w:val="0029110F"/>
    <w:rsid w:val="002D79AF"/>
    <w:rsid w:val="002E73EA"/>
    <w:rsid w:val="00333F20"/>
    <w:rsid w:val="003939D6"/>
    <w:rsid w:val="00450DC2"/>
    <w:rsid w:val="004A46ED"/>
    <w:rsid w:val="00502D63"/>
    <w:rsid w:val="00562D16"/>
    <w:rsid w:val="0056369F"/>
    <w:rsid w:val="00641EFC"/>
    <w:rsid w:val="00783C15"/>
    <w:rsid w:val="007B49BB"/>
    <w:rsid w:val="007E4AB2"/>
    <w:rsid w:val="00893D19"/>
    <w:rsid w:val="008A2989"/>
    <w:rsid w:val="00936078"/>
    <w:rsid w:val="00961641"/>
    <w:rsid w:val="00AC5167"/>
    <w:rsid w:val="00B36CE3"/>
    <w:rsid w:val="00B90662"/>
    <w:rsid w:val="00C53BBF"/>
    <w:rsid w:val="00C631BB"/>
    <w:rsid w:val="00C9096B"/>
    <w:rsid w:val="00CE307A"/>
    <w:rsid w:val="00CF4BBD"/>
    <w:rsid w:val="00D04B40"/>
    <w:rsid w:val="00E3788E"/>
    <w:rsid w:val="00E50C01"/>
    <w:rsid w:val="00E52820"/>
    <w:rsid w:val="00E63387"/>
    <w:rsid w:val="00F21B83"/>
    <w:rsid w:val="00F7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E7040"/>
  <w15:chartTrackingRefBased/>
  <w15:docId w15:val="{C9102960-EEBE-4E6C-A608-50545633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2B"/>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2B"/>
    <w:pPr>
      <w:ind w:left="720"/>
      <w:contextualSpacing/>
    </w:pPr>
  </w:style>
  <w:style w:type="paragraph" w:styleId="BalloonText">
    <w:name w:val="Balloon Text"/>
    <w:basedOn w:val="Normal"/>
    <w:link w:val="BalloonTextChar"/>
    <w:uiPriority w:val="99"/>
    <w:semiHidden/>
    <w:unhideWhenUsed/>
    <w:rsid w:val="00045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53"/>
    <w:rPr>
      <w:rFonts w:ascii="Segoe UI" w:eastAsia="Times New Roman" w:hAnsi="Segoe UI" w:cs="Segoe UI"/>
      <w:sz w:val="18"/>
      <w:szCs w:val="18"/>
    </w:rPr>
  </w:style>
  <w:style w:type="paragraph" w:styleId="Header">
    <w:name w:val="header"/>
    <w:basedOn w:val="Normal"/>
    <w:link w:val="HeaderChar"/>
    <w:uiPriority w:val="99"/>
    <w:unhideWhenUsed/>
    <w:rsid w:val="00F71552"/>
    <w:pPr>
      <w:tabs>
        <w:tab w:val="center" w:pos="4680"/>
        <w:tab w:val="right" w:pos="9360"/>
      </w:tabs>
    </w:pPr>
  </w:style>
  <w:style w:type="character" w:customStyle="1" w:styleId="HeaderChar">
    <w:name w:val="Header Char"/>
    <w:basedOn w:val="DefaultParagraphFont"/>
    <w:link w:val="Header"/>
    <w:uiPriority w:val="99"/>
    <w:rsid w:val="00F71552"/>
    <w:rPr>
      <w:rFonts w:ascii="Courier New" w:eastAsia="Times New Roman" w:hAnsi="Courier New" w:cs="Times New Roman"/>
      <w:sz w:val="24"/>
      <w:szCs w:val="24"/>
    </w:rPr>
  </w:style>
  <w:style w:type="paragraph" w:styleId="Footer">
    <w:name w:val="footer"/>
    <w:basedOn w:val="Normal"/>
    <w:link w:val="FooterChar"/>
    <w:uiPriority w:val="99"/>
    <w:unhideWhenUsed/>
    <w:rsid w:val="00F71552"/>
    <w:pPr>
      <w:tabs>
        <w:tab w:val="center" w:pos="4680"/>
        <w:tab w:val="right" w:pos="9360"/>
      </w:tabs>
    </w:pPr>
  </w:style>
  <w:style w:type="character" w:customStyle="1" w:styleId="FooterChar">
    <w:name w:val="Footer Char"/>
    <w:basedOn w:val="DefaultParagraphFont"/>
    <w:link w:val="Footer"/>
    <w:uiPriority w:val="99"/>
    <w:rsid w:val="00F71552"/>
    <w:rPr>
      <w:rFonts w:ascii="Courier New" w:eastAsia="Times New Roman" w:hAnsi="Courier New" w:cs="Times New Roman"/>
      <w:sz w:val="24"/>
      <w:szCs w:val="24"/>
    </w:rPr>
  </w:style>
  <w:style w:type="character" w:styleId="CommentReference">
    <w:name w:val="annotation reference"/>
    <w:basedOn w:val="DefaultParagraphFont"/>
    <w:uiPriority w:val="99"/>
    <w:semiHidden/>
    <w:unhideWhenUsed/>
    <w:rsid w:val="00562D16"/>
    <w:rPr>
      <w:sz w:val="16"/>
      <w:szCs w:val="16"/>
    </w:rPr>
  </w:style>
  <w:style w:type="paragraph" w:styleId="CommentText">
    <w:name w:val="annotation text"/>
    <w:basedOn w:val="Normal"/>
    <w:link w:val="CommentTextChar"/>
    <w:uiPriority w:val="99"/>
    <w:semiHidden/>
    <w:unhideWhenUsed/>
    <w:rsid w:val="00562D16"/>
    <w:rPr>
      <w:sz w:val="20"/>
      <w:szCs w:val="20"/>
    </w:rPr>
  </w:style>
  <w:style w:type="character" w:customStyle="1" w:styleId="CommentTextChar">
    <w:name w:val="Comment Text Char"/>
    <w:basedOn w:val="DefaultParagraphFont"/>
    <w:link w:val="CommentText"/>
    <w:uiPriority w:val="99"/>
    <w:semiHidden/>
    <w:rsid w:val="00562D1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562D16"/>
    <w:rPr>
      <w:b/>
      <w:bCs/>
    </w:rPr>
  </w:style>
  <w:style w:type="character" w:customStyle="1" w:styleId="CommentSubjectChar">
    <w:name w:val="Comment Subject Char"/>
    <w:basedOn w:val="CommentTextChar"/>
    <w:link w:val="CommentSubject"/>
    <w:uiPriority w:val="99"/>
    <w:semiHidden/>
    <w:rsid w:val="00562D16"/>
    <w:rPr>
      <w:rFonts w:ascii="Courier New" w:eastAsia="Times New Roman" w:hAnsi="Courier New" w:cs="Times New Roman"/>
      <w:b/>
      <w:bCs/>
      <w:sz w:val="20"/>
      <w:szCs w:val="20"/>
    </w:rPr>
  </w:style>
  <w:style w:type="paragraph" w:styleId="Revision">
    <w:name w:val="Revision"/>
    <w:hidden/>
    <w:uiPriority w:val="99"/>
    <w:semiHidden/>
    <w:rsid w:val="00001849"/>
    <w:pPr>
      <w:spacing w:after="0" w:line="240" w:lineRule="auto"/>
    </w:pPr>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05804">
      <w:bodyDiv w:val="1"/>
      <w:marLeft w:val="0"/>
      <w:marRight w:val="0"/>
      <w:marTop w:val="0"/>
      <w:marBottom w:val="0"/>
      <w:divBdr>
        <w:top w:val="none" w:sz="0" w:space="0" w:color="auto"/>
        <w:left w:val="none" w:sz="0" w:space="0" w:color="auto"/>
        <w:bottom w:val="none" w:sz="0" w:space="0" w:color="auto"/>
        <w:right w:val="none" w:sz="0" w:space="0" w:color="auto"/>
      </w:divBdr>
    </w:div>
    <w:div w:id="19468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A552-D41D-4981-A3C9-ACFB5F8C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Pittelkau, Kathryn   (HCA)</dc:creator>
  <cp:keywords/>
  <dc:description/>
  <cp:lastModifiedBy>Crump, Glenda A (HCA)</cp:lastModifiedBy>
  <cp:revision>2</cp:revision>
  <cp:lastPrinted>2017-11-08T16:58:00Z</cp:lastPrinted>
  <dcterms:created xsi:type="dcterms:W3CDTF">2017-11-08T17:34:00Z</dcterms:created>
  <dcterms:modified xsi:type="dcterms:W3CDTF">2017-11-08T17:34:00Z</dcterms:modified>
</cp:coreProperties>
</file>