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AB" w:rsidRPr="00FF3EC1" w:rsidRDefault="009104AB" w:rsidP="009104AB">
      <w:pPr>
        <w:pageBreakBefore/>
        <w:tabs>
          <w:tab w:val="left" w:pos="8986"/>
        </w:tabs>
        <w:rPr>
          <w:rFonts w:ascii="Arial" w:hAnsi="Arial" w:cs="Arial"/>
          <w:sz w:val="22"/>
          <w:szCs w:val="22"/>
        </w:rPr>
      </w:pPr>
    </w:p>
    <w:p w:rsidR="00136390" w:rsidRPr="00FF3EC1" w:rsidRDefault="009104AB" w:rsidP="009104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EC1">
        <w:rPr>
          <w:rFonts w:ascii="Calibri" w:hAnsi="Calibri" w:cs="Calibri"/>
          <w:b/>
          <w:sz w:val="22"/>
          <w:szCs w:val="22"/>
        </w:rPr>
        <w:t>New duration of use and dose limits for Proton Pump Inhibitors (PPIs)</w:t>
      </w:r>
    </w:p>
    <w:p w:rsidR="009104AB" w:rsidRPr="00144041" w:rsidRDefault="009104AB" w:rsidP="00FF3EC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91F92" w:rsidRPr="00144041" w:rsidRDefault="00291F92" w:rsidP="00291F92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bCs/>
          <w:sz w:val="18"/>
          <w:szCs w:val="18"/>
        </w:rPr>
        <w:t>Beginning June</w:t>
      </w:r>
      <w:r w:rsidRPr="00144041">
        <w:rPr>
          <w:rFonts w:asciiTheme="minorHAnsi" w:hAnsiTheme="minorHAnsi" w:cstheme="minorHAnsi"/>
          <w:sz w:val="18"/>
          <w:szCs w:val="18"/>
        </w:rPr>
        <w:t xml:space="preserve"> 1, 2017</w:t>
      </w:r>
      <w:r w:rsidR="00C85994" w:rsidRPr="00144041">
        <w:rPr>
          <w:rFonts w:asciiTheme="minorHAnsi" w:hAnsiTheme="minorHAnsi" w:cstheme="minorHAnsi"/>
          <w:sz w:val="18"/>
          <w:szCs w:val="18"/>
        </w:rPr>
        <w:t>,</w:t>
      </w:r>
      <w:r w:rsidRPr="00144041">
        <w:rPr>
          <w:rFonts w:asciiTheme="minorHAnsi" w:hAnsiTheme="minorHAnsi" w:cstheme="minorHAnsi"/>
          <w:sz w:val="18"/>
          <w:szCs w:val="18"/>
        </w:rPr>
        <w:t xml:space="preserve"> </w:t>
      </w:r>
      <w:r w:rsidR="00521DC2" w:rsidRPr="00144041">
        <w:rPr>
          <w:rFonts w:asciiTheme="minorHAnsi" w:hAnsiTheme="minorHAnsi" w:cstheme="minorHAnsi"/>
          <w:sz w:val="18"/>
          <w:szCs w:val="18"/>
        </w:rPr>
        <w:t>Washington Apple Health (Medicaid</w:t>
      </w:r>
      <w:r w:rsidR="001F7910" w:rsidRPr="00144041">
        <w:rPr>
          <w:rFonts w:asciiTheme="minorHAnsi" w:hAnsiTheme="minorHAnsi" w:cstheme="minorHAnsi"/>
          <w:sz w:val="18"/>
          <w:szCs w:val="18"/>
        </w:rPr>
        <w:t>)</w:t>
      </w:r>
      <w:r w:rsidR="00521DC2" w:rsidRPr="00144041">
        <w:rPr>
          <w:rFonts w:asciiTheme="minorHAnsi" w:hAnsiTheme="minorHAnsi" w:cstheme="minorHAnsi"/>
          <w:sz w:val="18"/>
          <w:szCs w:val="18"/>
        </w:rPr>
        <w:t>, administered by the Health Care Authority (</w:t>
      </w:r>
      <w:r w:rsidR="005E4284" w:rsidRPr="00144041">
        <w:rPr>
          <w:rFonts w:asciiTheme="minorHAnsi" w:hAnsiTheme="minorHAnsi" w:cstheme="minorHAnsi"/>
          <w:sz w:val="18"/>
          <w:szCs w:val="18"/>
        </w:rPr>
        <w:t>A</w:t>
      </w:r>
      <w:r w:rsidR="00521DC2" w:rsidRPr="00144041">
        <w:rPr>
          <w:rFonts w:asciiTheme="minorHAnsi" w:hAnsiTheme="minorHAnsi" w:cstheme="minorHAnsi"/>
          <w:sz w:val="18"/>
          <w:szCs w:val="18"/>
        </w:rPr>
        <w:t>gency) will limit PPIs to one tablet/capsule per day for</w:t>
      </w:r>
      <w:r w:rsidRPr="00144041">
        <w:rPr>
          <w:rFonts w:asciiTheme="minorHAnsi" w:hAnsiTheme="minorHAnsi" w:cstheme="minorHAnsi"/>
          <w:sz w:val="18"/>
          <w:szCs w:val="18"/>
        </w:rPr>
        <w:t xml:space="preserve"> 2 months during a</w:t>
      </w:r>
      <w:r w:rsidR="00C85994" w:rsidRPr="00144041">
        <w:rPr>
          <w:rFonts w:asciiTheme="minorHAnsi" w:hAnsiTheme="minorHAnsi" w:cstheme="minorHAnsi"/>
          <w:sz w:val="18"/>
          <w:szCs w:val="18"/>
        </w:rPr>
        <w:t>ny</w:t>
      </w:r>
      <w:r w:rsidRPr="00144041">
        <w:rPr>
          <w:rFonts w:asciiTheme="minorHAnsi" w:hAnsiTheme="minorHAnsi" w:cstheme="minorHAnsi"/>
          <w:sz w:val="18"/>
          <w:szCs w:val="18"/>
        </w:rPr>
        <w:t xml:space="preserve"> 12-month period</w:t>
      </w:r>
      <w:r w:rsidR="00521DC2" w:rsidRPr="00144041">
        <w:rPr>
          <w:rFonts w:asciiTheme="minorHAnsi" w:hAnsiTheme="minorHAnsi" w:cstheme="minorHAnsi"/>
          <w:sz w:val="18"/>
          <w:szCs w:val="18"/>
        </w:rPr>
        <w:t xml:space="preserve">. 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 The Agency</w:t>
      </w:r>
      <w:r w:rsidR="008E1FAF" w:rsidRPr="00144041">
        <w:rPr>
          <w:rFonts w:asciiTheme="minorHAnsi" w:hAnsiTheme="minorHAnsi" w:cstheme="minorHAnsi"/>
          <w:sz w:val="18"/>
          <w:szCs w:val="18"/>
        </w:rPr>
        <w:t xml:space="preserve"> may authorize</w:t>
      </w:r>
      <w:r w:rsidRPr="00144041">
        <w:rPr>
          <w:rFonts w:asciiTheme="minorHAnsi" w:hAnsiTheme="minorHAnsi" w:cstheme="minorHAnsi"/>
          <w:sz w:val="18"/>
          <w:szCs w:val="18"/>
        </w:rPr>
        <w:t xml:space="preserve"> more than 2 months per year </w:t>
      </w:r>
      <w:r w:rsidR="00521DC2" w:rsidRPr="00144041">
        <w:rPr>
          <w:rFonts w:asciiTheme="minorHAnsi" w:hAnsiTheme="minorHAnsi" w:cstheme="minorHAnsi"/>
          <w:sz w:val="18"/>
          <w:szCs w:val="18"/>
        </w:rPr>
        <w:t xml:space="preserve">and/or more than </w:t>
      </w:r>
      <w:r w:rsidR="00C1234C" w:rsidRPr="00144041">
        <w:rPr>
          <w:rFonts w:asciiTheme="minorHAnsi" w:hAnsiTheme="minorHAnsi" w:cstheme="minorHAnsi"/>
          <w:sz w:val="18"/>
          <w:szCs w:val="18"/>
        </w:rPr>
        <w:t xml:space="preserve">one tablet/capsule per day </w:t>
      </w:r>
      <w:r w:rsidR="008E1FAF" w:rsidRPr="00144041">
        <w:rPr>
          <w:rFonts w:asciiTheme="minorHAnsi" w:hAnsiTheme="minorHAnsi" w:cstheme="minorHAnsi"/>
          <w:sz w:val="18"/>
          <w:szCs w:val="18"/>
        </w:rPr>
        <w:t>for patients taking certain medications or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 who</w:t>
      </w:r>
      <w:r w:rsidR="008E1FAF" w:rsidRPr="00144041">
        <w:rPr>
          <w:rFonts w:asciiTheme="minorHAnsi" w:hAnsiTheme="minorHAnsi" w:cstheme="minorHAnsi"/>
          <w:sz w:val="18"/>
          <w:szCs w:val="18"/>
        </w:rPr>
        <w:t xml:space="preserve"> have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 one of</w:t>
      </w:r>
      <w:r w:rsidR="008E1FAF" w:rsidRPr="00144041">
        <w:rPr>
          <w:rFonts w:asciiTheme="minorHAnsi" w:hAnsiTheme="minorHAnsi" w:cstheme="minorHAnsi"/>
          <w:sz w:val="18"/>
          <w:szCs w:val="18"/>
        </w:rPr>
        <w:t xml:space="preserve"> the chronic medical conditions listed below</w:t>
      </w:r>
      <w:r w:rsidR="00136390" w:rsidRPr="00144041">
        <w:rPr>
          <w:rFonts w:asciiTheme="minorHAnsi" w:hAnsiTheme="minorHAnsi" w:cstheme="minorHAnsi"/>
          <w:sz w:val="18"/>
          <w:szCs w:val="18"/>
        </w:rPr>
        <w:t>:</w:t>
      </w:r>
    </w:p>
    <w:p w:rsidR="008643B7" w:rsidRPr="00144041" w:rsidRDefault="008643B7" w:rsidP="00291F92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C1234C" w:rsidRPr="00144041" w:rsidRDefault="00C1234C" w:rsidP="00291F92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144041">
        <w:rPr>
          <w:rFonts w:asciiTheme="minorHAnsi" w:hAnsiTheme="minorHAnsi" w:cstheme="minorHAnsi"/>
          <w:b/>
          <w:sz w:val="18"/>
          <w:szCs w:val="18"/>
        </w:rPr>
        <w:t>Chronic medical conditions include:</w:t>
      </w:r>
    </w:p>
    <w:p w:rsidR="00C1234C" w:rsidRPr="00144041" w:rsidRDefault="00C1234C" w:rsidP="00C1234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Pathological gastric acid hypersecretion, such as </w:t>
      </w:r>
      <w:proofErr w:type="spellStart"/>
      <w:r w:rsidRPr="00144041">
        <w:rPr>
          <w:rFonts w:asciiTheme="minorHAnsi" w:hAnsiTheme="minorHAnsi" w:cstheme="minorHAnsi"/>
          <w:sz w:val="18"/>
          <w:szCs w:val="18"/>
        </w:rPr>
        <w:t>Zollinger</w:t>
      </w:r>
      <w:proofErr w:type="spellEnd"/>
      <w:r w:rsidRPr="00144041">
        <w:rPr>
          <w:rFonts w:asciiTheme="minorHAnsi" w:hAnsiTheme="minorHAnsi" w:cstheme="minorHAnsi"/>
          <w:sz w:val="18"/>
          <w:szCs w:val="18"/>
        </w:rPr>
        <w:t>-Ellison syndrome</w:t>
      </w:r>
    </w:p>
    <w:p w:rsidR="00C1234C" w:rsidRPr="00144041" w:rsidRDefault="00C1234C" w:rsidP="00C1234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color w:val="000000"/>
          <w:sz w:val="18"/>
          <w:szCs w:val="18"/>
        </w:rPr>
        <w:t>Barrett’s esophagus</w:t>
      </w:r>
    </w:p>
    <w:p w:rsidR="00C1234C" w:rsidRPr="00144041" w:rsidRDefault="00C1234C" w:rsidP="00C1234C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Esophageal stenosis/stricture or </w:t>
      </w:r>
      <w:proofErr w:type="spellStart"/>
      <w:r w:rsidRPr="00144041">
        <w:rPr>
          <w:rFonts w:asciiTheme="minorHAnsi" w:hAnsiTheme="minorHAnsi" w:cstheme="minorHAnsi"/>
          <w:color w:val="000000"/>
          <w:sz w:val="18"/>
          <w:szCs w:val="18"/>
        </w:rPr>
        <w:t>Schatzki</w:t>
      </w:r>
      <w:proofErr w:type="spellEnd"/>
      <w:r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 ring</w:t>
      </w:r>
    </w:p>
    <w:p w:rsidR="00C1234C" w:rsidRPr="00144041" w:rsidRDefault="00C1234C" w:rsidP="0013639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color w:val="000000"/>
          <w:sz w:val="18"/>
          <w:szCs w:val="18"/>
        </w:rPr>
        <w:t>Recent erosive/ulcerative esophagitis</w:t>
      </w:r>
      <w:r w:rsidR="00BA6843"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 or </w:t>
      </w:r>
      <w:r w:rsidRPr="00144041">
        <w:rPr>
          <w:rFonts w:asciiTheme="minorHAnsi" w:hAnsiTheme="minorHAnsi" w:cstheme="minorHAnsi"/>
          <w:color w:val="000000"/>
          <w:sz w:val="18"/>
          <w:szCs w:val="18"/>
        </w:rPr>
        <w:t>duodenal/gastric ulcer</w:t>
      </w:r>
    </w:p>
    <w:p w:rsidR="00C1234C" w:rsidRPr="00144041" w:rsidRDefault="008643B7" w:rsidP="00C1234C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144041">
        <w:rPr>
          <w:rFonts w:asciiTheme="minorHAnsi" w:hAnsiTheme="minorHAnsi" w:cstheme="minorHAnsi"/>
          <w:b/>
          <w:sz w:val="18"/>
          <w:szCs w:val="18"/>
        </w:rPr>
        <w:t>Concurrent medications include:</w:t>
      </w:r>
    </w:p>
    <w:p w:rsidR="008643B7" w:rsidRPr="00144041" w:rsidRDefault="00E00F2B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Chronic NSAID </w:t>
      </w:r>
      <w:r w:rsidR="008643B7" w:rsidRPr="00144041">
        <w:rPr>
          <w:rFonts w:asciiTheme="minorHAnsi" w:hAnsiTheme="minorHAnsi" w:cstheme="minorHAnsi"/>
          <w:sz w:val="18"/>
          <w:szCs w:val="18"/>
        </w:rPr>
        <w:t>use (including aspirin greater than or equal to 325 mg per day)</w:t>
      </w:r>
    </w:p>
    <w:p w:rsidR="008643B7" w:rsidRPr="00144041" w:rsidRDefault="008643B7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Chronic low-dose aspirin with history of a GI bleed</w:t>
      </w:r>
    </w:p>
    <w:p w:rsidR="008643B7" w:rsidRPr="00144041" w:rsidRDefault="008643B7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Chronic high-dose systemic steroid</w:t>
      </w:r>
    </w:p>
    <w:p w:rsidR="008643B7" w:rsidRPr="00144041" w:rsidRDefault="008643B7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Antiplatelet or anticoagulant</w:t>
      </w:r>
    </w:p>
    <w:p w:rsidR="008643B7" w:rsidRPr="00144041" w:rsidRDefault="008643B7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Bisphosphonate 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where </w:t>
      </w:r>
      <w:r w:rsidRPr="00144041">
        <w:rPr>
          <w:rFonts w:asciiTheme="minorHAnsi" w:hAnsiTheme="minorHAnsi" w:cstheme="minorHAnsi"/>
          <w:sz w:val="18"/>
          <w:szCs w:val="18"/>
        </w:rPr>
        <w:t>there are pre-existing esophageal disorders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 and </w:t>
      </w:r>
      <w:proofErr w:type="spellStart"/>
      <w:r w:rsidR="00E00F2B" w:rsidRPr="00144041">
        <w:rPr>
          <w:rFonts w:asciiTheme="minorHAnsi" w:hAnsiTheme="minorHAnsi" w:cstheme="minorHAnsi"/>
          <w:sz w:val="18"/>
          <w:szCs w:val="18"/>
        </w:rPr>
        <w:t>risedronate</w:t>
      </w:r>
      <w:proofErr w:type="spellEnd"/>
      <w:r w:rsidR="00E00F2B" w:rsidRPr="00144041">
        <w:rPr>
          <w:rFonts w:asciiTheme="minorHAnsi" w:hAnsiTheme="minorHAnsi" w:cstheme="minorHAnsi"/>
          <w:sz w:val="18"/>
          <w:szCs w:val="18"/>
        </w:rPr>
        <w:t xml:space="preserve"> has been previously tried/failed</w:t>
      </w:r>
    </w:p>
    <w:p w:rsidR="008643B7" w:rsidRPr="00144041" w:rsidRDefault="008643B7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Pancreatic enzyme</w:t>
      </w:r>
    </w:p>
    <w:p w:rsidR="008643B7" w:rsidRPr="00144041" w:rsidRDefault="008643B7" w:rsidP="008643B7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Cancer Therapies</w:t>
      </w:r>
    </w:p>
    <w:p w:rsidR="00C1234C" w:rsidRPr="00144041" w:rsidRDefault="00C1234C" w:rsidP="00291F92">
      <w:pPr>
        <w:pStyle w:val="NoSpacing"/>
        <w:rPr>
          <w:rFonts w:asciiTheme="minorHAnsi" w:hAnsiTheme="minorHAnsi" w:cstheme="minorHAnsi"/>
          <w:color w:val="000000"/>
          <w:sz w:val="18"/>
          <w:szCs w:val="18"/>
        </w:rPr>
      </w:pPr>
    </w:p>
    <w:p w:rsidR="00291F92" w:rsidRPr="00144041" w:rsidRDefault="00291F92" w:rsidP="00291F92">
      <w:pPr>
        <w:snapToGrid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44041">
        <w:rPr>
          <w:rFonts w:asciiTheme="minorHAnsi" w:hAnsiTheme="minorHAnsi" w:cstheme="minorHAnsi"/>
          <w:b/>
          <w:sz w:val="18"/>
          <w:szCs w:val="18"/>
        </w:rPr>
        <w:t xml:space="preserve">Why are we adopting these interventions? </w:t>
      </w:r>
    </w:p>
    <w:p w:rsidR="008643B7" w:rsidRPr="00144041" w:rsidRDefault="008643B7" w:rsidP="008643B7">
      <w:p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PPIs are commonly prescribed to treat </w:t>
      </w:r>
      <w:r w:rsidR="005E4284" w:rsidRPr="00144041">
        <w:rPr>
          <w:rFonts w:asciiTheme="minorHAnsi" w:hAnsiTheme="minorHAnsi" w:cstheme="minorHAnsi"/>
          <w:sz w:val="18"/>
          <w:szCs w:val="18"/>
        </w:rPr>
        <w:t>gastroesophageal reflux disease (</w:t>
      </w:r>
      <w:r w:rsidRPr="00144041">
        <w:rPr>
          <w:rFonts w:asciiTheme="minorHAnsi" w:hAnsiTheme="minorHAnsi" w:cstheme="minorHAnsi"/>
          <w:sz w:val="18"/>
          <w:szCs w:val="18"/>
        </w:rPr>
        <w:t>GERD</w:t>
      </w:r>
      <w:r w:rsidR="005E4284" w:rsidRPr="00144041">
        <w:rPr>
          <w:rFonts w:asciiTheme="minorHAnsi" w:hAnsiTheme="minorHAnsi" w:cstheme="minorHAnsi"/>
          <w:sz w:val="18"/>
          <w:szCs w:val="18"/>
        </w:rPr>
        <w:t>)</w:t>
      </w:r>
      <w:r w:rsidRPr="00144041">
        <w:rPr>
          <w:rFonts w:asciiTheme="minorHAnsi" w:hAnsiTheme="minorHAnsi" w:cstheme="minorHAnsi"/>
          <w:sz w:val="18"/>
          <w:szCs w:val="18"/>
        </w:rPr>
        <w:t xml:space="preserve"> or heartburn and symptoms are generally well controlled 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after </w:t>
      </w:r>
      <w:r w:rsidRPr="00144041">
        <w:rPr>
          <w:rFonts w:asciiTheme="minorHAnsi" w:hAnsiTheme="minorHAnsi" w:cstheme="minorHAnsi"/>
          <w:sz w:val="18"/>
          <w:szCs w:val="18"/>
        </w:rPr>
        <w:t xml:space="preserve">60 days of 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PPI </w:t>
      </w:r>
      <w:r w:rsidRPr="00144041">
        <w:rPr>
          <w:rFonts w:asciiTheme="minorHAnsi" w:hAnsiTheme="minorHAnsi" w:cstheme="minorHAnsi"/>
          <w:sz w:val="18"/>
          <w:szCs w:val="18"/>
        </w:rPr>
        <w:t xml:space="preserve">therapy, even when cases are more severe. </w:t>
      </w:r>
      <w:r w:rsidR="008E1FAF" w:rsidRPr="00144041">
        <w:rPr>
          <w:rFonts w:asciiTheme="minorHAnsi" w:hAnsiTheme="minorHAnsi" w:cstheme="minorHAnsi"/>
          <w:sz w:val="18"/>
          <w:szCs w:val="18"/>
        </w:rPr>
        <w:t xml:space="preserve">PPIs are known to cause rebound acid reflux when patients try to 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abruptly </w:t>
      </w:r>
      <w:r w:rsidR="008E1FAF" w:rsidRPr="00144041">
        <w:rPr>
          <w:rFonts w:asciiTheme="minorHAnsi" w:hAnsiTheme="minorHAnsi" w:cstheme="minorHAnsi"/>
          <w:sz w:val="18"/>
          <w:szCs w:val="18"/>
        </w:rPr>
        <w:t xml:space="preserve">discontinue using the PPI.  This rebound reflux is often mistaken for continued need of the PPI and has led to overutilization. Overutilization is defined as using a PPI </w:t>
      </w:r>
      <w:r w:rsidR="00E00F2B" w:rsidRPr="00144041">
        <w:rPr>
          <w:rFonts w:asciiTheme="minorHAnsi" w:hAnsiTheme="minorHAnsi" w:cstheme="minorHAnsi"/>
          <w:sz w:val="18"/>
          <w:szCs w:val="18"/>
        </w:rPr>
        <w:t>for longer than the FDA-</w:t>
      </w:r>
      <w:r w:rsidR="008E1FAF" w:rsidRPr="00144041">
        <w:rPr>
          <w:rFonts w:asciiTheme="minorHAnsi" w:hAnsiTheme="minorHAnsi" w:cstheme="minorHAnsi"/>
          <w:sz w:val="18"/>
          <w:szCs w:val="18"/>
        </w:rPr>
        <w:t xml:space="preserve">recommended time period of 4 to 8 weeks. </w:t>
      </w:r>
      <w:r w:rsidR="00EE340E" w:rsidRPr="00144041">
        <w:rPr>
          <w:rFonts w:asciiTheme="minorHAnsi" w:hAnsiTheme="minorHAnsi" w:cstheme="minorHAnsi"/>
          <w:sz w:val="18"/>
          <w:szCs w:val="18"/>
        </w:rPr>
        <w:t xml:space="preserve"> To avoid rebound acid reflux the PPI should be gradually discontinued and supplemented with </w:t>
      </w:r>
      <w:r w:rsidR="005E4284" w:rsidRPr="00144041">
        <w:rPr>
          <w:rFonts w:asciiTheme="minorHAnsi" w:hAnsiTheme="minorHAnsi" w:cstheme="minorHAnsi"/>
          <w:sz w:val="18"/>
          <w:szCs w:val="18"/>
        </w:rPr>
        <w:t>a hista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mine-2 receptor blocker (H2RA) 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e.g. </w:t>
      </w:r>
      <w:r w:rsidR="00EE340E" w:rsidRPr="00144041">
        <w:rPr>
          <w:rFonts w:asciiTheme="minorHAnsi" w:hAnsiTheme="minorHAnsi" w:cstheme="minorHAnsi"/>
          <w:sz w:val="18"/>
          <w:szCs w:val="18"/>
        </w:rPr>
        <w:t>ranitidine 400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 </w:t>
      </w:r>
      <w:r w:rsidR="0031159D" w:rsidRPr="00144041">
        <w:rPr>
          <w:rFonts w:asciiTheme="minorHAnsi" w:hAnsiTheme="minorHAnsi" w:cstheme="minorHAnsi"/>
          <w:sz w:val="18"/>
          <w:szCs w:val="18"/>
        </w:rPr>
        <w:t xml:space="preserve">mg per day, </w:t>
      </w:r>
      <w:r w:rsidR="00EE340E" w:rsidRPr="00144041">
        <w:rPr>
          <w:rFonts w:asciiTheme="minorHAnsi" w:hAnsiTheme="minorHAnsi" w:cstheme="minorHAnsi"/>
          <w:sz w:val="18"/>
          <w:szCs w:val="18"/>
        </w:rPr>
        <w:t xml:space="preserve">over the course of </w:t>
      </w:r>
      <w:r w:rsidR="00E00F2B" w:rsidRPr="00144041">
        <w:rPr>
          <w:rFonts w:asciiTheme="minorHAnsi" w:hAnsiTheme="minorHAnsi" w:cstheme="minorHAnsi"/>
          <w:sz w:val="18"/>
          <w:szCs w:val="18"/>
        </w:rPr>
        <w:t>a month</w:t>
      </w:r>
      <w:r w:rsidR="00EE340E" w:rsidRPr="00144041">
        <w:rPr>
          <w:rFonts w:asciiTheme="minorHAnsi" w:hAnsiTheme="minorHAnsi" w:cstheme="minorHAnsi"/>
          <w:sz w:val="18"/>
          <w:szCs w:val="18"/>
        </w:rPr>
        <w:t xml:space="preserve">.  </w:t>
      </w:r>
      <w:r w:rsidR="00E00F2B" w:rsidRPr="00144041">
        <w:rPr>
          <w:rFonts w:asciiTheme="minorHAnsi" w:hAnsiTheme="minorHAnsi" w:cstheme="minorHAnsi"/>
          <w:sz w:val="18"/>
          <w:szCs w:val="18"/>
        </w:rPr>
        <w:t>Thereafter</w:t>
      </w:r>
      <w:r w:rsidR="0031159D" w:rsidRPr="00144041">
        <w:rPr>
          <w:rFonts w:asciiTheme="minorHAnsi" w:hAnsiTheme="minorHAnsi" w:cstheme="minorHAnsi"/>
          <w:sz w:val="18"/>
          <w:szCs w:val="18"/>
        </w:rPr>
        <w:t>,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 continuous or as-</w:t>
      </w:r>
      <w:r w:rsidR="005E4284" w:rsidRPr="00144041">
        <w:rPr>
          <w:rFonts w:asciiTheme="minorHAnsi" w:hAnsiTheme="minorHAnsi" w:cstheme="minorHAnsi"/>
          <w:sz w:val="18"/>
          <w:szCs w:val="18"/>
        </w:rPr>
        <w:t>needed treatment with an H2RA</w:t>
      </w:r>
      <w:r w:rsidRPr="00144041">
        <w:rPr>
          <w:rFonts w:asciiTheme="minorHAnsi" w:hAnsiTheme="minorHAnsi" w:cstheme="minorHAnsi"/>
          <w:sz w:val="18"/>
          <w:szCs w:val="18"/>
        </w:rPr>
        <w:t xml:space="preserve"> should be sufficient </w:t>
      </w:r>
      <w:r w:rsidR="00EE340E" w:rsidRPr="00144041">
        <w:rPr>
          <w:rFonts w:asciiTheme="minorHAnsi" w:hAnsiTheme="minorHAnsi" w:cstheme="minorHAnsi"/>
          <w:sz w:val="18"/>
          <w:szCs w:val="18"/>
        </w:rPr>
        <w:t>for cont</w:t>
      </w:r>
      <w:r w:rsidR="005E4284" w:rsidRPr="00144041">
        <w:rPr>
          <w:rFonts w:asciiTheme="minorHAnsi" w:hAnsiTheme="minorHAnsi" w:cstheme="minorHAnsi"/>
          <w:sz w:val="18"/>
          <w:szCs w:val="18"/>
        </w:rPr>
        <w:t>rolling symptoms caused by GERD.</w:t>
      </w:r>
      <w:r w:rsidRPr="00144041">
        <w:rPr>
          <w:rFonts w:asciiTheme="minorHAnsi" w:hAnsiTheme="minorHAnsi" w:cstheme="minorHAnsi"/>
          <w:sz w:val="18"/>
          <w:szCs w:val="18"/>
        </w:rPr>
        <w:t xml:space="preserve"> </w:t>
      </w:r>
      <w:r w:rsidR="00EE340E" w:rsidRPr="0014404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643B7" w:rsidRPr="00144041" w:rsidRDefault="008643B7" w:rsidP="00291F92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EE340E" w:rsidRPr="00144041" w:rsidRDefault="00EE340E" w:rsidP="00EE340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Prescribers should:</w:t>
      </w:r>
    </w:p>
    <w:p w:rsidR="00EE340E" w:rsidRPr="00144041" w:rsidRDefault="00EE340E" w:rsidP="00EE340E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Re-evaluate therapy fo</w:t>
      </w:r>
      <w:r w:rsidR="0031159D" w:rsidRPr="00144041">
        <w:rPr>
          <w:rFonts w:asciiTheme="minorHAnsi" w:hAnsiTheme="minorHAnsi" w:cstheme="minorHAnsi"/>
          <w:sz w:val="18"/>
          <w:szCs w:val="18"/>
        </w:rPr>
        <w:t>r patients diagnosed with GERD.</w:t>
      </w:r>
    </w:p>
    <w:p w:rsidR="00EE340E" w:rsidRPr="00144041" w:rsidRDefault="00EE340E" w:rsidP="00EE340E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Gradually reduce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 the dose of the PPI 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over 30 days </w:t>
      </w:r>
      <w:r w:rsidR="005E4284" w:rsidRPr="00144041">
        <w:rPr>
          <w:rFonts w:asciiTheme="minorHAnsi" w:hAnsiTheme="minorHAnsi" w:cstheme="minorHAnsi"/>
          <w:sz w:val="18"/>
          <w:szCs w:val="18"/>
        </w:rPr>
        <w:t>and discontinue,</w:t>
      </w:r>
      <w:r w:rsidRPr="00144041">
        <w:rPr>
          <w:rFonts w:asciiTheme="minorHAnsi" w:hAnsiTheme="minorHAnsi" w:cstheme="minorHAnsi"/>
          <w:sz w:val="18"/>
          <w:szCs w:val="18"/>
        </w:rPr>
        <w:t xml:space="preserve"> using an H2RA </w:t>
      </w:r>
      <w:r w:rsidR="005E4284" w:rsidRPr="00144041">
        <w:rPr>
          <w:rFonts w:asciiTheme="minorHAnsi" w:hAnsiTheme="minorHAnsi" w:cstheme="minorHAnsi"/>
          <w:sz w:val="18"/>
          <w:szCs w:val="18"/>
        </w:rPr>
        <w:t>(e.g. ranitidine 400</w:t>
      </w:r>
      <w:r w:rsidR="00E00F2B" w:rsidRPr="00144041">
        <w:rPr>
          <w:rFonts w:asciiTheme="minorHAnsi" w:hAnsiTheme="minorHAnsi" w:cstheme="minorHAnsi"/>
          <w:sz w:val="18"/>
          <w:szCs w:val="18"/>
        </w:rPr>
        <w:t xml:space="preserve"> 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mg daily) </w:t>
      </w:r>
      <w:r w:rsidRPr="00144041">
        <w:rPr>
          <w:rFonts w:asciiTheme="minorHAnsi" w:hAnsiTheme="minorHAnsi" w:cstheme="minorHAnsi"/>
          <w:sz w:val="18"/>
          <w:szCs w:val="18"/>
        </w:rPr>
        <w:t xml:space="preserve">to </w:t>
      </w:r>
      <w:r w:rsidR="005E4284" w:rsidRPr="00144041">
        <w:rPr>
          <w:rFonts w:asciiTheme="minorHAnsi" w:hAnsiTheme="minorHAnsi" w:cstheme="minorHAnsi"/>
          <w:sz w:val="18"/>
          <w:szCs w:val="18"/>
        </w:rPr>
        <w:t xml:space="preserve">reduce the occurrence of rebound acid reflux. </w:t>
      </w:r>
      <w:r w:rsidRPr="00144041">
        <w:rPr>
          <w:rFonts w:asciiTheme="minorHAnsi" w:hAnsiTheme="minorHAnsi" w:cstheme="minorHAnsi"/>
          <w:sz w:val="18"/>
          <w:szCs w:val="18"/>
        </w:rPr>
        <w:t>See attached sample taper plan.</w:t>
      </w:r>
    </w:p>
    <w:p w:rsidR="00EE340E" w:rsidRPr="00144041" w:rsidRDefault="00EE340E" w:rsidP="00EE340E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Discuss with their patients the guidelines on the management and treatment of GERD.</w:t>
      </w:r>
    </w:p>
    <w:p w:rsidR="005E4284" w:rsidRPr="00144041" w:rsidRDefault="005E4284" w:rsidP="00EE340E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Consider endoscopy for patients unable to control symptoms </w:t>
      </w:r>
      <w:r w:rsidR="00FE11B3" w:rsidRPr="00144041">
        <w:rPr>
          <w:rFonts w:asciiTheme="minorHAnsi" w:hAnsiTheme="minorHAnsi" w:cstheme="minorHAnsi"/>
          <w:sz w:val="18"/>
          <w:szCs w:val="18"/>
        </w:rPr>
        <w:t>caused by GERD after 8 weeks of PPI</w:t>
      </w:r>
      <w:r w:rsidR="0031159D" w:rsidRPr="00144041">
        <w:rPr>
          <w:rFonts w:asciiTheme="minorHAnsi" w:hAnsiTheme="minorHAnsi" w:cstheme="minorHAnsi"/>
          <w:sz w:val="18"/>
          <w:szCs w:val="18"/>
        </w:rPr>
        <w:t xml:space="preserve"> treatment followed by a 30-</w:t>
      </w:r>
      <w:r w:rsidR="00FE11B3" w:rsidRPr="00144041">
        <w:rPr>
          <w:rFonts w:asciiTheme="minorHAnsi" w:hAnsiTheme="minorHAnsi" w:cstheme="minorHAnsi"/>
          <w:sz w:val="18"/>
          <w:szCs w:val="18"/>
        </w:rPr>
        <w:t xml:space="preserve">day </w:t>
      </w:r>
      <w:r w:rsidR="00E00F2B" w:rsidRPr="00144041">
        <w:rPr>
          <w:rFonts w:asciiTheme="minorHAnsi" w:hAnsiTheme="minorHAnsi" w:cstheme="minorHAnsi"/>
          <w:sz w:val="18"/>
          <w:szCs w:val="18"/>
        </w:rPr>
        <w:t>cross-</w:t>
      </w:r>
      <w:r w:rsidR="00FE11B3" w:rsidRPr="00144041">
        <w:rPr>
          <w:rFonts w:asciiTheme="minorHAnsi" w:hAnsiTheme="minorHAnsi" w:cstheme="minorHAnsi"/>
          <w:sz w:val="18"/>
          <w:szCs w:val="18"/>
        </w:rPr>
        <w:t>taper to an H2RA.</w:t>
      </w:r>
    </w:p>
    <w:p w:rsidR="00EE340E" w:rsidRPr="00144041" w:rsidRDefault="00EE340E" w:rsidP="00EE340E">
      <w:pPr>
        <w:rPr>
          <w:rFonts w:asciiTheme="minorHAnsi" w:hAnsiTheme="minorHAnsi" w:cstheme="minorHAnsi"/>
          <w:sz w:val="18"/>
          <w:szCs w:val="18"/>
        </w:rPr>
      </w:pPr>
    </w:p>
    <w:p w:rsidR="00EE340E" w:rsidRPr="00144041" w:rsidRDefault="00EE340E" w:rsidP="00EE340E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The American College of Gastroenterology (ACG) guidelines recommend</w:t>
      </w:r>
      <w:r w:rsidR="00FE11B3" w:rsidRPr="00144041">
        <w:rPr>
          <w:rFonts w:asciiTheme="minorHAnsi" w:hAnsiTheme="minorHAnsi" w:cstheme="minorHAnsi"/>
          <w:sz w:val="18"/>
          <w:szCs w:val="18"/>
        </w:rPr>
        <w:t xml:space="preserve"> the following for the treatment of GERD</w:t>
      </w:r>
      <w:r w:rsidRPr="00144041">
        <w:rPr>
          <w:rFonts w:asciiTheme="minorHAnsi" w:hAnsiTheme="minorHAnsi" w:cstheme="minorHAnsi"/>
          <w:sz w:val="18"/>
          <w:szCs w:val="18"/>
        </w:rPr>
        <w:t>:</w:t>
      </w:r>
    </w:p>
    <w:p w:rsidR="00EE340E" w:rsidRPr="00144041" w:rsidRDefault="00EE340E" w:rsidP="00EE340E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Weight loss</w:t>
      </w:r>
    </w:p>
    <w:p w:rsidR="00EE340E" w:rsidRPr="00144041" w:rsidRDefault="00EE340E" w:rsidP="00EE340E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Head of bed elevation</w:t>
      </w:r>
    </w:p>
    <w:p w:rsidR="00EE340E" w:rsidRPr="00144041" w:rsidRDefault="00EE340E" w:rsidP="00EE340E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Avoidance of meals 2-3 hours before bedtime</w:t>
      </w:r>
    </w:p>
    <w:p w:rsidR="00EE340E" w:rsidRPr="00144041" w:rsidRDefault="00EE340E" w:rsidP="00EE340E">
      <w:pPr>
        <w:pStyle w:val="NoSpacing"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PPI for 8 weeks</w:t>
      </w:r>
    </w:p>
    <w:p w:rsidR="00EE340E" w:rsidRPr="00144041" w:rsidRDefault="00EE340E" w:rsidP="00291F92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291F92" w:rsidRPr="00144041" w:rsidRDefault="00291F92" w:rsidP="00291F92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Long-term use and/or high doses of PPIs are associated with the following risks: </w:t>
      </w:r>
    </w:p>
    <w:p w:rsidR="00EE340E" w:rsidRPr="00144041" w:rsidRDefault="00291F92" w:rsidP="00EE340E">
      <w:pPr>
        <w:pStyle w:val="Default"/>
        <w:numPr>
          <w:ilvl w:val="0"/>
          <w:numId w:val="4"/>
        </w:numPr>
        <w:adjustRightInd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Malabsorption of calcium</w:t>
      </w:r>
      <w:r w:rsidR="00EE340E" w:rsidRPr="00144041">
        <w:rPr>
          <w:rFonts w:asciiTheme="minorHAnsi" w:hAnsiTheme="minorHAnsi" w:cstheme="minorHAnsi"/>
          <w:sz w:val="18"/>
          <w:szCs w:val="18"/>
        </w:rPr>
        <w:t xml:space="preserve"> leading to hypocalcemia could lead to bone fractures.</w:t>
      </w:r>
    </w:p>
    <w:p w:rsidR="00EE340E" w:rsidRPr="00144041" w:rsidRDefault="00EE340E" w:rsidP="00EE340E">
      <w:pPr>
        <w:pStyle w:val="Default"/>
        <w:numPr>
          <w:ilvl w:val="0"/>
          <w:numId w:val="4"/>
        </w:numPr>
        <w:adjustRightInd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Malabsorption of</w:t>
      </w:r>
      <w:r w:rsidR="00291F92" w:rsidRPr="00144041">
        <w:rPr>
          <w:rFonts w:asciiTheme="minorHAnsi" w:hAnsiTheme="minorHAnsi" w:cstheme="minorHAnsi"/>
          <w:sz w:val="18"/>
          <w:szCs w:val="18"/>
        </w:rPr>
        <w:t xml:space="preserve"> magnesium</w:t>
      </w:r>
      <w:r w:rsidRPr="00144041">
        <w:rPr>
          <w:rFonts w:asciiTheme="minorHAnsi" w:hAnsiTheme="minorHAnsi" w:cstheme="minorHAnsi"/>
          <w:sz w:val="18"/>
          <w:szCs w:val="18"/>
        </w:rPr>
        <w:t xml:space="preserve"> leading to hypomagnesemia is potentially fatal. Magnesium levels should be monitored during PPI therapy.  Symptoms include seizures, arrhythmias, hypotension, </w:t>
      </w:r>
      <w:proofErr w:type="gramStart"/>
      <w:r w:rsidRPr="00144041">
        <w:rPr>
          <w:rFonts w:asciiTheme="minorHAnsi" w:hAnsiTheme="minorHAnsi" w:cstheme="minorHAnsi"/>
          <w:sz w:val="18"/>
          <w:szCs w:val="18"/>
        </w:rPr>
        <w:t>tetany</w:t>
      </w:r>
      <w:proofErr w:type="gramEnd"/>
      <w:r w:rsidRPr="00144041">
        <w:rPr>
          <w:rFonts w:asciiTheme="minorHAnsi" w:hAnsiTheme="minorHAnsi" w:cstheme="minorHAnsi"/>
          <w:sz w:val="18"/>
          <w:szCs w:val="18"/>
        </w:rPr>
        <w:t>.</w:t>
      </w:r>
    </w:p>
    <w:p w:rsidR="00291F92" w:rsidRPr="00144041" w:rsidRDefault="00136390" w:rsidP="00FF3EC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I</w:t>
      </w:r>
      <w:r w:rsidR="00291F92" w:rsidRPr="00144041">
        <w:rPr>
          <w:rFonts w:asciiTheme="minorHAnsi" w:hAnsiTheme="minorHAnsi" w:cstheme="minorHAnsi"/>
          <w:sz w:val="18"/>
          <w:szCs w:val="18"/>
        </w:rPr>
        <w:t>ncreased risk of infection:</w:t>
      </w:r>
    </w:p>
    <w:p w:rsidR="00291F92" w:rsidRPr="00144041" w:rsidRDefault="00291F92" w:rsidP="00FF3EC1">
      <w:pPr>
        <w:pStyle w:val="Default"/>
        <w:numPr>
          <w:ilvl w:val="0"/>
          <w:numId w:val="12"/>
        </w:numPr>
        <w:adjustRightInd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i/>
          <w:iCs/>
          <w:sz w:val="18"/>
          <w:szCs w:val="18"/>
        </w:rPr>
        <w:t>Clostridium difficile</w:t>
      </w:r>
      <w:r w:rsidRPr="00144041">
        <w:rPr>
          <w:rFonts w:asciiTheme="minorHAnsi" w:hAnsiTheme="minorHAnsi" w:cstheme="minorHAnsi"/>
          <w:sz w:val="18"/>
          <w:szCs w:val="18"/>
        </w:rPr>
        <w:t xml:space="preserve"> infections</w:t>
      </w:r>
    </w:p>
    <w:p w:rsidR="00291F92" w:rsidRPr="00144041" w:rsidRDefault="00291F92" w:rsidP="00FF3EC1">
      <w:pPr>
        <w:pStyle w:val="Default"/>
        <w:numPr>
          <w:ilvl w:val="0"/>
          <w:numId w:val="12"/>
        </w:numPr>
        <w:adjustRightInd/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>Pneumonia due to aspiration of organisms not deactivated by gastric acid</w:t>
      </w:r>
    </w:p>
    <w:p w:rsidR="00291F92" w:rsidRPr="00144041" w:rsidRDefault="00291F92" w:rsidP="00291F92">
      <w:pPr>
        <w:rPr>
          <w:rFonts w:asciiTheme="minorHAnsi" w:hAnsiTheme="minorHAnsi" w:cstheme="minorHAnsi"/>
          <w:sz w:val="18"/>
          <w:szCs w:val="18"/>
        </w:rPr>
      </w:pPr>
    </w:p>
    <w:p w:rsidR="00136390" w:rsidRPr="00144041" w:rsidRDefault="008643B7" w:rsidP="00291F92">
      <w:p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Patients who do not </w:t>
      </w:r>
      <w:r w:rsidR="00BA6843" w:rsidRPr="00144041">
        <w:rPr>
          <w:rFonts w:asciiTheme="minorHAnsi" w:hAnsiTheme="minorHAnsi" w:cstheme="minorHAnsi"/>
          <w:color w:val="000000"/>
          <w:sz w:val="18"/>
          <w:szCs w:val="18"/>
        </w:rPr>
        <w:t>have a</w:t>
      </w:r>
      <w:r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 chronic condition or </w:t>
      </w:r>
      <w:r w:rsidR="00BA6843"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are </w:t>
      </w:r>
      <w:r w:rsidR="00376BD0"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not </w:t>
      </w:r>
      <w:r w:rsidR="00BA6843"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using a </w:t>
      </w:r>
      <w:r w:rsidRPr="00144041">
        <w:rPr>
          <w:rFonts w:asciiTheme="minorHAnsi" w:hAnsiTheme="minorHAnsi" w:cstheme="minorHAnsi"/>
          <w:color w:val="000000"/>
          <w:sz w:val="18"/>
          <w:szCs w:val="18"/>
        </w:rPr>
        <w:t xml:space="preserve">concurrent medication as listed above, should consider </w:t>
      </w:r>
      <w:r w:rsidR="00EE340E" w:rsidRPr="00144041">
        <w:rPr>
          <w:rFonts w:asciiTheme="minorHAnsi" w:hAnsiTheme="minorHAnsi" w:cstheme="minorHAnsi"/>
          <w:color w:val="000000"/>
          <w:sz w:val="18"/>
          <w:szCs w:val="18"/>
        </w:rPr>
        <w:t>discontinuing the use of a PPI.</w:t>
      </w:r>
      <w:r w:rsidR="00D56C3C" w:rsidRPr="0014404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44041" w:rsidRPr="00144041" w:rsidRDefault="00144041" w:rsidP="00291F92">
      <w:pPr>
        <w:rPr>
          <w:rFonts w:asciiTheme="minorHAnsi" w:hAnsiTheme="minorHAnsi" w:cstheme="minorHAnsi"/>
          <w:sz w:val="18"/>
          <w:szCs w:val="18"/>
        </w:rPr>
      </w:pPr>
    </w:p>
    <w:p w:rsidR="006201BE" w:rsidRDefault="00291F92" w:rsidP="00FF3EC1">
      <w:pPr>
        <w:rPr>
          <w:rFonts w:asciiTheme="minorHAnsi" w:hAnsiTheme="minorHAnsi" w:cstheme="minorHAnsi"/>
          <w:sz w:val="18"/>
          <w:szCs w:val="18"/>
        </w:rPr>
      </w:pPr>
      <w:r w:rsidRPr="00144041">
        <w:rPr>
          <w:rFonts w:asciiTheme="minorHAnsi" w:hAnsiTheme="minorHAnsi" w:cstheme="minorHAnsi"/>
          <w:sz w:val="18"/>
          <w:szCs w:val="18"/>
        </w:rPr>
        <w:t xml:space="preserve">For the complete Apple Health (Medicaid) PPI policy </w:t>
      </w:r>
      <w:r w:rsidR="004F53BE" w:rsidRPr="00144041">
        <w:rPr>
          <w:rFonts w:asciiTheme="minorHAnsi" w:hAnsiTheme="minorHAnsi" w:cstheme="minorHAnsi"/>
          <w:sz w:val="18"/>
          <w:szCs w:val="18"/>
        </w:rPr>
        <w:t xml:space="preserve">and sample taper plan, </w:t>
      </w:r>
      <w:r w:rsidRPr="00144041">
        <w:rPr>
          <w:rFonts w:asciiTheme="minorHAnsi" w:hAnsiTheme="minorHAnsi" w:cstheme="minorHAnsi"/>
          <w:sz w:val="18"/>
          <w:szCs w:val="18"/>
        </w:rPr>
        <w:t xml:space="preserve">please visit </w:t>
      </w:r>
      <w:hyperlink r:id="rId6" w:history="1">
        <w:r w:rsidRPr="00144041">
          <w:rPr>
            <w:rStyle w:val="Hyperlink"/>
            <w:rFonts w:asciiTheme="minorHAnsi" w:hAnsiTheme="minorHAnsi" w:cstheme="minorHAnsi"/>
            <w:sz w:val="18"/>
            <w:szCs w:val="18"/>
          </w:rPr>
          <w:t>https://www.hca.wa.gov/billers-providers/programs-and-services/apple-health-medicaid-drug-coverage-criteria</w:t>
        </w:r>
      </w:hyperlink>
      <w:r w:rsidRPr="0014404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FF3EC1">
      <w:pPr>
        <w:rPr>
          <w:rFonts w:asciiTheme="minorHAnsi" w:hAnsiTheme="minorHAnsi" w:cstheme="minorHAnsi"/>
          <w:sz w:val="18"/>
          <w:szCs w:val="18"/>
        </w:rPr>
      </w:pPr>
    </w:p>
    <w:p w:rsidR="00636761" w:rsidRDefault="00636761" w:rsidP="00636761">
      <w:pPr>
        <w:pStyle w:val="Default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cs="Calibri"/>
          <w:noProof/>
          <w:color w:val="0033CC"/>
          <w:sz w:val="30"/>
          <w:szCs w:val="30"/>
        </w:rPr>
        <w:lastRenderedPageBreak/>
        <w:drawing>
          <wp:inline distT="0" distB="0" distL="0" distR="0">
            <wp:extent cx="1876425" cy="314325"/>
            <wp:effectExtent l="0" t="0" r="9525" b="9525"/>
            <wp:docPr id="1" name="Picture 1" descr="HCA New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A New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61" w:rsidRDefault="00636761" w:rsidP="00636761">
      <w:pPr>
        <w:pStyle w:val="Default"/>
        <w:rPr>
          <w:rFonts w:ascii="Calibri" w:hAnsi="Calibri" w:cs="Calibri"/>
          <w:b/>
          <w:color w:val="auto"/>
          <w:sz w:val="32"/>
          <w:szCs w:val="32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  <w:sz w:val="32"/>
          <w:szCs w:val="32"/>
        </w:rPr>
      </w:pPr>
      <w:bookmarkStart w:id="0" w:name="_GoBack"/>
      <w:bookmarkEnd w:id="0"/>
      <w:r w:rsidRPr="002A5BBE">
        <w:rPr>
          <w:rFonts w:ascii="Calibri" w:hAnsi="Calibri" w:cs="Calibri"/>
          <w:b/>
          <w:color w:val="auto"/>
          <w:sz w:val="32"/>
          <w:szCs w:val="32"/>
        </w:rPr>
        <w:t>Sample Taper Plans for proton pump inhibitors (PPIs) stepdown</w:t>
      </w:r>
    </w:p>
    <w:p w:rsidR="00636761" w:rsidRPr="005658D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5658D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  <w:r w:rsidRPr="002A5BBE">
        <w:rPr>
          <w:rFonts w:ascii="Calibri" w:hAnsi="Calibri" w:cs="Calibri"/>
          <w:b/>
          <w:color w:val="auto"/>
        </w:rPr>
        <w:t>Table 1.  Sample PPI taper schedule for QD dosing</w:t>
      </w: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tbl>
      <w:tblPr>
        <w:tblW w:w="9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78"/>
        <w:gridCol w:w="1185"/>
        <w:gridCol w:w="1186"/>
        <w:gridCol w:w="1365"/>
        <w:gridCol w:w="1192"/>
        <w:gridCol w:w="1173"/>
        <w:gridCol w:w="1189"/>
      </w:tblGrid>
      <w:tr w:rsidR="00636761" w:rsidRPr="002A5BBE" w:rsidTr="002A5BBE"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Sunday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Monday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Tuesday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Wednesday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Thursday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Friday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Saturday</w:t>
            </w:r>
          </w:p>
        </w:tc>
      </w:tr>
      <w:tr w:rsidR="00636761" w:rsidRPr="002A5BBE" w:rsidTr="002A5BBE"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Current 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</w:tr>
      <w:tr w:rsidR="00636761" w:rsidRPr="002A5BBE" w:rsidTr="002A5BBE"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Week 1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</w:tr>
      <w:tr w:rsidR="00636761" w:rsidRPr="002A5BBE" w:rsidTr="002A5BBE"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Week 2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Week 3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</w:tr>
      <w:tr w:rsidR="00636761" w:rsidRPr="002A5BBE" w:rsidTr="002A5BBE"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Week 4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Week 5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</w:tbl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color w:val="auto"/>
        </w:rPr>
      </w:pPr>
      <w:r w:rsidRPr="002A5BBE">
        <w:rPr>
          <w:rFonts w:ascii="Calibri" w:hAnsi="Calibri" w:cs="Calibri"/>
          <w:color w:val="auto"/>
        </w:rPr>
        <w:t>H2B = H2 blocker, e.g. ranitidine</w:t>
      </w: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  <w:r w:rsidRPr="002A5BBE">
        <w:rPr>
          <w:rFonts w:ascii="Calibri" w:hAnsi="Calibri" w:cs="Calibri"/>
          <w:b/>
          <w:color w:val="auto"/>
        </w:rPr>
        <w:t>Table 2.  Sample PPI taper schedule for BID dosing</w:t>
      </w:r>
    </w:p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584"/>
        <w:gridCol w:w="583"/>
        <w:gridCol w:w="584"/>
        <w:gridCol w:w="584"/>
        <w:gridCol w:w="585"/>
        <w:gridCol w:w="585"/>
        <w:gridCol w:w="639"/>
        <w:gridCol w:w="639"/>
        <w:gridCol w:w="588"/>
        <w:gridCol w:w="588"/>
        <w:gridCol w:w="582"/>
        <w:gridCol w:w="583"/>
        <w:gridCol w:w="586"/>
        <w:gridCol w:w="586"/>
      </w:tblGrid>
      <w:tr w:rsidR="00636761" w:rsidRPr="002A5BBE" w:rsidTr="002A5BBE"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Sunday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Monday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Tuesday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Wednesday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Thursday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Friday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Saturday</w:t>
            </w:r>
          </w:p>
        </w:tc>
      </w:tr>
      <w:tr w:rsidR="00636761" w:rsidRPr="002A5BBE" w:rsidTr="002A5BBE"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AM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PM</w:t>
            </w:r>
          </w:p>
        </w:tc>
      </w:tr>
      <w:tr w:rsidR="00636761" w:rsidRPr="002A5BBE" w:rsidTr="002A5BBE"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Current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1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3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4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6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7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8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 xml:space="preserve">  Week 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PPI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  <w:tr w:rsidR="00636761" w:rsidRPr="002A5BBE" w:rsidTr="002A5BBE"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b/>
                <w:color w:val="auto"/>
              </w:rPr>
              <w:t xml:space="preserve">  </w:t>
            </w:r>
            <w:r w:rsidRPr="002A5BBE">
              <w:rPr>
                <w:rFonts w:ascii="Calibri" w:hAnsi="Calibri" w:cs="Calibri"/>
                <w:color w:val="auto"/>
              </w:rPr>
              <w:t>Week 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6761" w:rsidRPr="002A5BBE" w:rsidRDefault="00636761" w:rsidP="002A5BBE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2A5BBE">
              <w:rPr>
                <w:rFonts w:ascii="Calibri" w:hAnsi="Calibri" w:cs="Calibri"/>
                <w:color w:val="auto"/>
              </w:rPr>
              <w:t>H2B</w:t>
            </w:r>
          </w:p>
        </w:tc>
      </w:tr>
    </w:tbl>
    <w:p w:rsidR="00636761" w:rsidRPr="002A5BBE" w:rsidRDefault="00636761" w:rsidP="00636761">
      <w:pPr>
        <w:pStyle w:val="Default"/>
        <w:rPr>
          <w:rFonts w:ascii="Calibri" w:hAnsi="Calibri" w:cs="Calibri"/>
          <w:b/>
          <w:color w:val="auto"/>
        </w:rPr>
      </w:pPr>
    </w:p>
    <w:p w:rsidR="00636761" w:rsidRPr="002A5BBE" w:rsidRDefault="00636761" w:rsidP="00636761">
      <w:pPr>
        <w:rPr>
          <w:rFonts w:ascii="Calibri" w:hAnsi="Calibri" w:cs="Calibri"/>
        </w:rPr>
      </w:pPr>
      <w:r w:rsidRPr="002A5BBE">
        <w:rPr>
          <w:rFonts w:ascii="Calibri" w:hAnsi="Calibri" w:cs="Calibri"/>
        </w:rPr>
        <w:t>H2B = H2 blocker, e.g. ranitidine</w:t>
      </w:r>
    </w:p>
    <w:p w:rsidR="00636761" w:rsidRPr="00144041" w:rsidRDefault="00636761" w:rsidP="00FF3EC1">
      <w:pPr>
        <w:rPr>
          <w:sz w:val="18"/>
          <w:szCs w:val="18"/>
        </w:rPr>
      </w:pPr>
    </w:p>
    <w:sectPr w:rsidR="00636761" w:rsidRPr="00144041" w:rsidSect="00910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C63"/>
    <w:multiLevelType w:val="hybridMultilevel"/>
    <w:tmpl w:val="474456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25419"/>
    <w:multiLevelType w:val="hybridMultilevel"/>
    <w:tmpl w:val="418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A00"/>
    <w:multiLevelType w:val="hybridMultilevel"/>
    <w:tmpl w:val="11B0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B38"/>
    <w:multiLevelType w:val="hybridMultilevel"/>
    <w:tmpl w:val="4E34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2142"/>
    <w:multiLevelType w:val="multilevel"/>
    <w:tmpl w:val="386ABA92"/>
    <w:lvl w:ilvl="0">
      <w:numFmt w:val="bullet"/>
      <w:lvlText w:val=""/>
      <w:lvlJc w:val="left"/>
      <w:pPr>
        <w:ind w:left="1080" w:hanging="72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cs="Times New Roman"/>
      </w:rPr>
    </w:lvl>
  </w:abstractNum>
  <w:abstractNum w:abstractNumId="5" w15:restartNumberingAfterBreak="0">
    <w:nsid w:val="46295A8B"/>
    <w:multiLevelType w:val="hybridMultilevel"/>
    <w:tmpl w:val="BA58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13E"/>
    <w:multiLevelType w:val="hybridMultilevel"/>
    <w:tmpl w:val="C20A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09BD"/>
    <w:multiLevelType w:val="hybridMultilevel"/>
    <w:tmpl w:val="A734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1064"/>
    <w:multiLevelType w:val="hybridMultilevel"/>
    <w:tmpl w:val="2AE0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D5EF3"/>
    <w:multiLevelType w:val="hybridMultilevel"/>
    <w:tmpl w:val="2A54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12D39"/>
    <w:multiLevelType w:val="hybridMultilevel"/>
    <w:tmpl w:val="3AEC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AB"/>
    <w:rsid w:val="000E7D48"/>
    <w:rsid w:val="00136390"/>
    <w:rsid w:val="00144041"/>
    <w:rsid w:val="001F61C9"/>
    <w:rsid w:val="001F7910"/>
    <w:rsid w:val="002559E7"/>
    <w:rsid w:val="002644D6"/>
    <w:rsid w:val="00291F92"/>
    <w:rsid w:val="0031159D"/>
    <w:rsid w:val="00376BD0"/>
    <w:rsid w:val="004F53BE"/>
    <w:rsid w:val="00521DC2"/>
    <w:rsid w:val="005D019B"/>
    <w:rsid w:val="005E4284"/>
    <w:rsid w:val="006201BE"/>
    <w:rsid w:val="00636761"/>
    <w:rsid w:val="00657C29"/>
    <w:rsid w:val="007B4CAF"/>
    <w:rsid w:val="008643B7"/>
    <w:rsid w:val="008E1FAF"/>
    <w:rsid w:val="009104AB"/>
    <w:rsid w:val="009E64FC"/>
    <w:rsid w:val="00A54521"/>
    <w:rsid w:val="00AD25B3"/>
    <w:rsid w:val="00B00FE5"/>
    <w:rsid w:val="00B76194"/>
    <w:rsid w:val="00BA6843"/>
    <w:rsid w:val="00BD4CC2"/>
    <w:rsid w:val="00C1234C"/>
    <w:rsid w:val="00C85994"/>
    <w:rsid w:val="00D3527C"/>
    <w:rsid w:val="00D43484"/>
    <w:rsid w:val="00D56C3C"/>
    <w:rsid w:val="00DA0055"/>
    <w:rsid w:val="00E00F2B"/>
    <w:rsid w:val="00EE340E"/>
    <w:rsid w:val="00FD417D"/>
    <w:rsid w:val="00FE11B3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1D7B6-BC02-4C19-850B-62C8BD4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04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04AB"/>
    <w:rPr>
      <w:color w:val="0000FF"/>
      <w:u w:val="single"/>
    </w:rPr>
  </w:style>
  <w:style w:type="paragraph" w:customStyle="1" w:styleId="Default">
    <w:name w:val="Default"/>
    <w:rsid w:val="009104A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2559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ca.wa.gov/billers-providers/programs-and-services/apple-health-medicaid-drug-coverage-crite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EF65-DB0F-4A84-B98A-583B9A3C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Charity (HCA)</dc:creator>
  <cp:keywords/>
  <dc:description/>
  <cp:lastModifiedBy>Harris, Charity (HCA)</cp:lastModifiedBy>
  <cp:revision>9</cp:revision>
  <cp:lastPrinted>2017-04-11T16:00:00Z</cp:lastPrinted>
  <dcterms:created xsi:type="dcterms:W3CDTF">2017-04-12T16:14:00Z</dcterms:created>
  <dcterms:modified xsi:type="dcterms:W3CDTF">2017-04-13T21:16:00Z</dcterms:modified>
</cp:coreProperties>
</file>