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7F0AF" w14:textId="77777777" w:rsidR="00A832C7" w:rsidRDefault="00A832C7">
      <w:pPr>
        <w:rPr>
          <w:b/>
        </w:rPr>
      </w:pPr>
    </w:p>
    <w:p w14:paraId="1D2963EF" w14:textId="77777777" w:rsidR="00A832C7" w:rsidRDefault="00A832C7" w:rsidP="00A832C7">
      <w:pPr>
        <w:rPr>
          <w:rFonts w:ascii="Calibri" w:eastAsia="Calibri" w:hAnsi="Calibri" w:cs="Calibri"/>
          <w:color w:val="1F497D"/>
          <w:sz w:val="22"/>
          <w:szCs w:val="22"/>
        </w:rPr>
      </w:pPr>
    </w:p>
    <w:p w14:paraId="57EB9320" w14:textId="77777777" w:rsidR="00A832C7" w:rsidRDefault="00A832C7" w:rsidP="00A832C7">
      <w:pPr>
        <w:rPr>
          <w:rFonts w:ascii="Calibri" w:eastAsia="Calibri" w:hAnsi="Calibri" w:cs="Calibri"/>
          <w:color w:val="1F497D"/>
          <w:sz w:val="22"/>
          <w:szCs w:val="22"/>
        </w:rPr>
      </w:pPr>
    </w:p>
    <w:p w14:paraId="03782186" w14:textId="77777777" w:rsidR="00A832C7" w:rsidRDefault="00A832C7" w:rsidP="00A832C7">
      <w:pPr>
        <w:rPr>
          <w:rFonts w:ascii="Calibri" w:eastAsia="Calibri" w:hAnsi="Calibri" w:cs="Calibri"/>
          <w:color w:val="1F497D"/>
          <w:sz w:val="22"/>
          <w:szCs w:val="22"/>
        </w:rPr>
      </w:pPr>
    </w:p>
    <w:p w14:paraId="32AABE90" w14:textId="77777777" w:rsidR="00A832C7" w:rsidRDefault="00A832C7" w:rsidP="00A832C7">
      <w:pPr>
        <w:rPr>
          <w:rFonts w:ascii="Calibri" w:eastAsia="Calibri" w:hAnsi="Calibri" w:cs="Calibri"/>
          <w:color w:val="1F497D"/>
          <w:sz w:val="22"/>
          <w:szCs w:val="22"/>
        </w:rPr>
      </w:pPr>
    </w:p>
    <w:p w14:paraId="5B5D6C95" w14:textId="77777777" w:rsidR="00A832C7" w:rsidRDefault="00A832C7" w:rsidP="00A832C7">
      <w:pPr>
        <w:rPr>
          <w:rFonts w:ascii="Calibri" w:eastAsia="Calibri" w:hAnsi="Calibri" w:cs="Calibri"/>
          <w:color w:val="1F497D"/>
          <w:sz w:val="22"/>
          <w:szCs w:val="22"/>
        </w:rPr>
      </w:pPr>
    </w:p>
    <w:p w14:paraId="2A1B7AE7" w14:textId="77777777" w:rsidR="00A832C7" w:rsidRDefault="00A832C7" w:rsidP="00A832C7">
      <w:pPr>
        <w:rPr>
          <w:rFonts w:ascii="Calibri" w:eastAsia="Calibri" w:hAnsi="Calibri" w:cs="Calibri"/>
          <w:color w:val="1F497D"/>
          <w:sz w:val="22"/>
          <w:szCs w:val="22"/>
        </w:rPr>
      </w:pPr>
    </w:p>
    <w:p w14:paraId="7B46C389" w14:textId="77777777" w:rsidR="00A832C7" w:rsidRDefault="00A832C7" w:rsidP="00A832C7">
      <w:pPr>
        <w:rPr>
          <w:rFonts w:ascii="Calibri" w:eastAsia="Calibri" w:hAnsi="Calibri" w:cs="Calibri"/>
          <w:color w:val="1F497D"/>
          <w:sz w:val="22"/>
          <w:szCs w:val="22"/>
        </w:rPr>
      </w:pPr>
    </w:p>
    <w:p w14:paraId="64C853E1" w14:textId="77777777" w:rsidR="007F233F" w:rsidRDefault="007F233F" w:rsidP="00A832C7">
      <w:pPr>
        <w:rPr>
          <w:rFonts w:ascii="Calibri" w:eastAsia="Calibri" w:hAnsi="Calibri" w:cs="Calibri"/>
          <w:color w:val="1F497D"/>
          <w:sz w:val="22"/>
          <w:szCs w:val="22"/>
        </w:rPr>
      </w:pPr>
    </w:p>
    <w:p w14:paraId="7446DB57" w14:textId="77777777" w:rsidR="00A832C7" w:rsidRDefault="00A832C7" w:rsidP="00A832C7">
      <w:pPr>
        <w:rPr>
          <w:rFonts w:ascii="Calibri" w:eastAsia="Calibri" w:hAnsi="Calibri" w:cs="Calibri"/>
          <w:color w:val="1F497D"/>
          <w:sz w:val="22"/>
          <w:szCs w:val="22"/>
        </w:rPr>
      </w:pPr>
    </w:p>
    <w:p w14:paraId="5D599B6E" w14:textId="77777777" w:rsidR="00A832C7" w:rsidRDefault="00A832C7" w:rsidP="00A832C7">
      <w:pPr>
        <w:rPr>
          <w:rFonts w:ascii="Calibri" w:eastAsia="Calibri" w:hAnsi="Calibri" w:cs="Calibri"/>
          <w:color w:val="1F497D"/>
          <w:sz w:val="22"/>
          <w:szCs w:val="22"/>
        </w:rPr>
      </w:pPr>
    </w:p>
    <w:p w14:paraId="51ACAA7E" w14:textId="77777777" w:rsidR="00A832C7" w:rsidRDefault="00A832C7" w:rsidP="00A832C7">
      <w:pPr>
        <w:rPr>
          <w:rFonts w:ascii="Calibri" w:eastAsia="Calibri" w:hAnsi="Calibri" w:cs="Calibri"/>
          <w:color w:val="1F497D"/>
          <w:sz w:val="22"/>
          <w:szCs w:val="22"/>
        </w:rPr>
      </w:pPr>
    </w:p>
    <w:p w14:paraId="68159450" w14:textId="77777777" w:rsidR="00A832C7" w:rsidRPr="007F233F" w:rsidRDefault="00A832C7" w:rsidP="007F233F">
      <w:pPr>
        <w:rPr>
          <w:rFonts w:ascii="Calibri" w:eastAsia="Calibri" w:hAnsi="Calibri" w:cs="Calibri"/>
          <w:sz w:val="28"/>
        </w:rPr>
      </w:pPr>
      <w:r w:rsidRPr="007F233F">
        <w:rPr>
          <w:rFonts w:ascii="Calibri" w:eastAsia="Calibri" w:hAnsi="Calibri" w:cs="Calibri"/>
          <w:sz w:val="28"/>
        </w:rPr>
        <w:t>Washington State Medicaid Transformation Project Demonstration</w:t>
      </w:r>
    </w:p>
    <w:p w14:paraId="1EE7BA86" w14:textId="77777777" w:rsidR="00A832C7" w:rsidRPr="007F233F" w:rsidRDefault="00A832C7" w:rsidP="007F233F">
      <w:pPr>
        <w:rPr>
          <w:rFonts w:ascii="Calibri" w:eastAsia="Calibri" w:hAnsi="Calibri" w:cs="Calibri"/>
          <w:sz w:val="28"/>
        </w:rPr>
      </w:pPr>
      <w:r w:rsidRPr="007F233F">
        <w:rPr>
          <w:rFonts w:ascii="Calibri" w:eastAsia="Calibri" w:hAnsi="Calibri" w:cs="Calibri"/>
          <w:sz w:val="28"/>
        </w:rPr>
        <w:t>Section 1115 Waiver Quarterly Health IT Operational Report</w:t>
      </w:r>
    </w:p>
    <w:p w14:paraId="3AEB6B04" w14:textId="77777777" w:rsidR="00A832C7" w:rsidRPr="007F233F" w:rsidRDefault="00A832C7" w:rsidP="007F233F">
      <w:pPr>
        <w:rPr>
          <w:rFonts w:ascii="Calibri" w:eastAsia="Calibri" w:hAnsi="Calibri" w:cs="Calibri"/>
          <w:sz w:val="28"/>
        </w:rPr>
      </w:pPr>
      <w:r w:rsidRPr="007F233F">
        <w:rPr>
          <w:rFonts w:ascii="Calibri" w:eastAsia="Calibri" w:hAnsi="Calibri" w:cs="Calibri"/>
          <w:sz w:val="28"/>
        </w:rPr>
        <w:t>Demonstration Year 2: (January 1, 2018 to December 31, 2018)</w:t>
      </w:r>
    </w:p>
    <w:p w14:paraId="7475451A" w14:textId="77777777" w:rsidR="00A832C7" w:rsidRPr="007F233F" w:rsidRDefault="00A832C7" w:rsidP="007F233F">
      <w:pPr>
        <w:rPr>
          <w:rFonts w:ascii="Calibri" w:eastAsia="Calibri" w:hAnsi="Calibri" w:cs="Calibri"/>
          <w:sz w:val="28"/>
        </w:rPr>
      </w:pPr>
      <w:r w:rsidRPr="007F233F">
        <w:rPr>
          <w:rFonts w:ascii="Calibri" w:eastAsia="Calibri" w:hAnsi="Calibri" w:cs="Calibri"/>
          <w:sz w:val="28"/>
        </w:rPr>
        <w:t xml:space="preserve">Federal Fiscal Quarter: </w:t>
      </w:r>
      <w:r w:rsidR="008C25CA">
        <w:rPr>
          <w:rFonts w:ascii="Calibri" w:eastAsia="Calibri" w:hAnsi="Calibri" w:cs="Calibri"/>
          <w:sz w:val="28"/>
        </w:rPr>
        <w:t>Second</w:t>
      </w:r>
      <w:r w:rsidRPr="007F233F">
        <w:rPr>
          <w:rFonts w:ascii="Calibri" w:eastAsia="Calibri" w:hAnsi="Calibri" w:cs="Calibri"/>
          <w:sz w:val="28"/>
        </w:rPr>
        <w:t xml:space="preserve"> Quarter (</w:t>
      </w:r>
      <w:r w:rsidR="008C25CA">
        <w:rPr>
          <w:rFonts w:ascii="Calibri" w:eastAsia="Calibri" w:hAnsi="Calibri" w:cs="Calibri"/>
          <w:sz w:val="28"/>
        </w:rPr>
        <w:t>April</w:t>
      </w:r>
      <w:r w:rsidRPr="007F233F">
        <w:rPr>
          <w:rFonts w:ascii="Calibri" w:eastAsia="Calibri" w:hAnsi="Calibri" w:cs="Calibri"/>
          <w:sz w:val="28"/>
        </w:rPr>
        <w:t xml:space="preserve"> 1, 2018 to </w:t>
      </w:r>
      <w:r w:rsidR="008C25CA">
        <w:rPr>
          <w:rFonts w:ascii="Calibri" w:eastAsia="Calibri" w:hAnsi="Calibri" w:cs="Calibri"/>
          <w:sz w:val="28"/>
        </w:rPr>
        <w:t>June</w:t>
      </w:r>
      <w:r w:rsidRPr="007F233F">
        <w:rPr>
          <w:rFonts w:ascii="Calibri" w:eastAsia="Calibri" w:hAnsi="Calibri" w:cs="Calibri"/>
          <w:sz w:val="28"/>
        </w:rPr>
        <w:t xml:space="preserve"> 3</w:t>
      </w:r>
      <w:r w:rsidR="008C25CA">
        <w:rPr>
          <w:rFonts w:ascii="Calibri" w:eastAsia="Calibri" w:hAnsi="Calibri" w:cs="Calibri"/>
          <w:sz w:val="28"/>
        </w:rPr>
        <w:t>0</w:t>
      </w:r>
      <w:r w:rsidRPr="007F233F">
        <w:rPr>
          <w:rFonts w:ascii="Calibri" w:eastAsia="Calibri" w:hAnsi="Calibri" w:cs="Calibri"/>
          <w:sz w:val="28"/>
        </w:rPr>
        <w:t>, 2018)</w:t>
      </w:r>
    </w:p>
    <w:p w14:paraId="51E8EFAE" w14:textId="77777777" w:rsidR="00A832C7" w:rsidRDefault="00A832C7">
      <w:pPr>
        <w:rPr>
          <w:rFonts w:ascii="Calibri" w:eastAsia="Calibri" w:hAnsi="Calibri" w:cs="Calibri"/>
          <w:color w:val="1F497D"/>
          <w:sz w:val="22"/>
          <w:szCs w:val="22"/>
        </w:rPr>
      </w:pPr>
      <w:r>
        <w:rPr>
          <w:rFonts w:ascii="Calibri" w:eastAsia="Calibri" w:hAnsi="Calibri" w:cs="Calibri"/>
          <w:color w:val="1F497D"/>
          <w:sz w:val="22"/>
          <w:szCs w:val="22"/>
        </w:rPr>
        <w:br w:type="page"/>
      </w:r>
    </w:p>
    <w:p w14:paraId="703FBC27" w14:textId="77777777" w:rsidR="00A832C7" w:rsidRPr="00A832C7" w:rsidRDefault="00A832C7" w:rsidP="00A832C7">
      <w:pPr>
        <w:jc w:val="center"/>
        <w:rPr>
          <w:rFonts w:ascii="Calibri" w:eastAsia="Calibri" w:hAnsi="Calibri" w:cs="Calibri"/>
          <w:color w:val="1F497D"/>
          <w:sz w:val="22"/>
          <w:szCs w:val="22"/>
        </w:rPr>
      </w:pPr>
    </w:p>
    <w:p w14:paraId="58220B1E" w14:textId="77777777" w:rsidR="00C7158C" w:rsidRDefault="00C7158C">
      <w:pPr>
        <w:rPr>
          <w:b/>
        </w:rPr>
      </w:pPr>
      <w:r>
        <w:rPr>
          <w:b/>
        </w:rPr>
        <w:t xml:space="preserve">Demonstration Year 2 – Quarter </w:t>
      </w:r>
      <w:r w:rsidR="008C25CA">
        <w:rPr>
          <w:b/>
        </w:rPr>
        <w:t>2</w:t>
      </w:r>
    </w:p>
    <w:p w14:paraId="2D116DEB" w14:textId="77777777" w:rsidR="007547AB" w:rsidRPr="009A78D0" w:rsidRDefault="008C25CA">
      <w:pPr>
        <w:rPr>
          <w:b/>
        </w:rPr>
      </w:pPr>
      <w:r>
        <w:rPr>
          <w:b/>
        </w:rPr>
        <w:t>April</w:t>
      </w:r>
      <w:r w:rsidR="009A78D0" w:rsidRPr="009A78D0">
        <w:rPr>
          <w:b/>
        </w:rPr>
        <w:t xml:space="preserve"> 1, 2018 – </w:t>
      </w:r>
      <w:r>
        <w:rPr>
          <w:b/>
        </w:rPr>
        <w:t>June 30</w:t>
      </w:r>
      <w:r w:rsidR="009A78D0" w:rsidRPr="009A78D0">
        <w:rPr>
          <w:b/>
        </w:rPr>
        <w:t>, 2018</w:t>
      </w:r>
    </w:p>
    <w:p w14:paraId="10B2990E" w14:textId="77777777" w:rsidR="009A78D0" w:rsidRDefault="009A78D0"/>
    <w:p w14:paraId="2EA668E8" w14:textId="77777777" w:rsidR="004D7225" w:rsidRDefault="009A78D0">
      <w:r>
        <w:t xml:space="preserve">The Health IT Operational Plan is composed of actionable deliverables to advance the </w:t>
      </w:r>
      <w:r w:rsidR="007547AB">
        <w:t>h</w:t>
      </w:r>
      <w:r>
        <w:t>ealth IT goals and the vision articulated in the Health IT Strategic Roadmap (</w:t>
      </w:r>
      <w:hyperlink r:id="rId8" w:history="1">
        <w:r w:rsidRPr="00125873">
          <w:rPr>
            <w:rStyle w:val="Hyperlink"/>
          </w:rPr>
          <w:t>https://www.hca.wa.gov/assets/program/health-information-technology-strategic-roadmap.pdf</w:t>
        </w:r>
      </w:hyperlink>
      <w:r>
        <w:t>)</w:t>
      </w:r>
      <w:r w:rsidR="007547AB">
        <w:t xml:space="preserve"> in support of Medicaid Transformation in Washington</w:t>
      </w:r>
      <w:r w:rsidR="00E207AF">
        <w:t xml:space="preserve"> </w:t>
      </w:r>
      <w:r w:rsidR="00EB1BD9">
        <w:t>S</w:t>
      </w:r>
      <w:r w:rsidR="00E207AF">
        <w:t>tate</w:t>
      </w:r>
      <w:r>
        <w:t xml:space="preserve">.  </w:t>
      </w:r>
      <w:r w:rsidR="004D7225">
        <w:t>The focus of th</w:t>
      </w:r>
      <w:r w:rsidR="007547AB">
        <w:t xml:space="preserve">e Health IT Roadmap and Operational Plan </w:t>
      </w:r>
      <w:r w:rsidR="004D7225">
        <w:t>align</w:t>
      </w:r>
      <w:r w:rsidR="007547AB">
        <w:t>s</w:t>
      </w:r>
      <w:r w:rsidR="004D7225">
        <w:t xml:space="preserve"> with the three phases of work</w:t>
      </w:r>
      <w:r w:rsidR="007547AB">
        <w:t xml:space="preserve"> in the Medicaid Transformation Initiative</w:t>
      </w:r>
      <w:r w:rsidR="004D7225">
        <w:t xml:space="preserve">: design, implementation and operations and assessment.  </w:t>
      </w:r>
      <w:r w:rsidR="00F32B61">
        <w:t>The Health IT Operational Plan includes 92 deliverables and tasks in multiple areas including</w:t>
      </w:r>
      <w:r w:rsidR="00F32B61" w:rsidRPr="00F32B61">
        <w:t xml:space="preserve">: data, data analytics, data governance, health IT/health information exchange (including </w:t>
      </w:r>
      <w:r w:rsidR="007F2B75">
        <w:t xml:space="preserve">the </w:t>
      </w:r>
      <w:r w:rsidR="00F32B61" w:rsidRPr="00F32B61">
        <w:t>training needs</w:t>
      </w:r>
      <w:r w:rsidR="007F2B75">
        <w:t xml:space="preserve"> of Accountable Communities of Health (ACHs</w:t>
      </w:r>
      <w:r w:rsidR="00F32B61" w:rsidRPr="00F32B61">
        <w:t>)</w:t>
      </w:r>
      <w:r w:rsidR="00216A10">
        <w:t>)</w:t>
      </w:r>
      <w:r w:rsidR="00F32B61" w:rsidRPr="00F32B61">
        <w:t>, financing, master person identifier, prov</w:t>
      </w:r>
      <w:r w:rsidR="00F32B61">
        <w:t xml:space="preserve">ider directory, and evaluation.  </w:t>
      </w:r>
      <w:r w:rsidR="004D7225">
        <w:t xml:space="preserve">This year, 2018, is largely focused </w:t>
      </w:r>
      <w:r w:rsidR="007F2B75">
        <w:t xml:space="preserve">on </w:t>
      </w:r>
      <w:r w:rsidR="004D7225">
        <w:t>identifying</w:t>
      </w:r>
      <w:r w:rsidR="00622A3E">
        <w:t xml:space="preserve"> and advancing</w:t>
      </w:r>
      <w:r w:rsidR="004D7225">
        <w:t xml:space="preserve"> </w:t>
      </w:r>
      <w:r w:rsidR="007F2B75">
        <w:t>the data needed by the state, ACHs, and providers; technology tools needed by providers for interoperable health information exchange</w:t>
      </w:r>
      <w:r w:rsidR="00622A3E">
        <w:t xml:space="preserve"> (HIE)</w:t>
      </w:r>
      <w:r w:rsidR="007F2B75">
        <w:t>; and</w:t>
      </w:r>
      <w:r w:rsidR="004D7225">
        <w:t xml:space="preserve"> existing infrastructure projects (i.e.</w:t>
      </w:r>
      <w:r w:rsidR="00622A3E">
        <w:t>, Clinical Data Repository</w:t>
      </w:r>
      <w:r w:rsidR="004D7225">
        <w:t xml:space="preserve"> </w:t>
      </w:r>
      <w:r w:rsidR="00622A3E">
        <w:t>(</w:t>
      </w:r>
      <w:r w:rsidR="004D7225">
        <w:t>CDR).</w:t>
      </w:r>
    </w:p>
    <w:p w14:paraId="41135650" w14:textId="77777777" w:rsidR="004D7225" w:rsidRDefault="004D7225"/>
    <w:p w14:paraId="1DE30039" w14:textId="77777777" w:rsidR="004D7225" w:rsidRDefault="004D7225" w:rsidP="004D7225">
      <w:pPr>
        <w:pStyle w:val="Heading1"/>
      </w:pPr>
      <w:r>
        <w:t>Success Stories</w:t>
      </w:r>
    </w:p>
    <w:p w14:paraId="288C5749" w14:textId="4A8AAD29" w:rsidR="004D7225" w:rsidRDefault="004D7225" w:rsidP="004D7225">
      <w:r>
        <w:t xml:space="preserve">The Health IT team </w:t>
      </w:r>
      <w:r w:rsidR="008C25CA">
        <w:t>continued to engage</w:t>
      </w:r>
      <w:r>
        <w:t xml:space="preserve"> with the ACHs </w:t>
      </w:r>
      <w:r w:rsidR="00622A3E">
        <w:t xml:space="preserve">to </w:t>
      </w:r>
      <w:r>
        <w:t xml:space="preserve">understand their Health IT capacity and develop targeted technical assistance to advance their regional projects and ensure Health IT and HIE elements are incorporated.  </w:t>
      </w:r>
      <w:r w:rsidR="00FD5EDA">
        <w:t>During the second quarter, HCA hosted several health IT Operational Plan updates and technical assistance webinar</w:t>
      </w:r>
      <w:r w:rsidR="00216A10">
        <w:t>s</w:t>
      </w:r>
      <w:r w:rsidR="00FD5EDA">
        <w:t xml:space="preserve"> for </w:t>
      </w:r>
      <w:r w:rsidR="00FE0662">
        <w:t xml:space="preserve">ACHs </w:t>
      </w:r>
      <w:r w:rsidR="00FD5EDA">
        <w:t xml:space="preserve">that connected foundational elements of health IT </w:t>
      </w:r>
      <w:r w:rsidR="00216A10">
        <w:t xml:space="preserve">and HIE </w:t>
      </w:r>
      <w:r w:rsidR="00FD5EDA">
        <w:t>with ACH project plans</w:t>
      </w:r>
      <w:r>
        <w:t>.</w:t>
      </w:r>
    </w:p>
    <w:p w14:paraId="2AFD576C" w14:textId="77777777" w:rsidR="004D7225" w:rsidRDefault="004D7225" w:rsidP="004D7225"/>
    <w:p w14:paraId="540FA426" w14:textId="03DD1518" w:rsidR="004D7225" w:rsidRDefault="004D7225" w:rsidP="004D7225">
      <w:r>
        <w:t xml:space="preserve">HCA </w:t>
      </w:r>
      <w:r w:rsidR="00FE0662">
        <w:t xml:space="preserve">conducted </w:t>
      </w:r>
      <w:r>
        <w:t xml:space="preserve">individual meetings with ACHs to understand regional </w:t>
      </w:r>
      <w:r w:rsidR="00622A3E">
        <w:t xml:space="preserve">needs and </w:t>
      </w:r>
      <w:r>
        <w:t xml:space="preserve">differences and what support from HCA, DOH and federal partners would help advance the ACH’s Health IT </w:t>
      </w:r>
      <w:r w:rsidR="00567E14">
        <w:t xml:space="preserve">and health information exchange </w:t>
      </w:r>
      <w:r>
        <w:t>goals</w:t>
      </w:r>
      <w:r w:rsidR="00622A3E">
        <w:t xml:space="preserve"> for providers in their regions</w:t>
      </w:r>
      <w:r>
        <w:t>.</w:t>
      </w:r>
      <w:r w:rsidR="00FD5EDA">
        <w:t xml:space="preserve">  As a result of these conversations, HCA expects that ACHs will leverage and expand providers’ use of the interoperable Health IT and HIE infrastructure available and emerging through the statewide health information exchange organization, </w:t>
      </w:r>
      <w:proofErr w:type="spellStart"/>
      <w:r w:rsidR="00FD5EDA">
        <w:t>OneHealthPort</w:t>
      </w:r>
      <w:proofErr w:type="spellEnd"/>
      <w:r w:rsidR="00FD5EDA">
        <w:t xml:space="preserve"> (OHP), including providers’ use of OHP’s </w:t>
      </w:r>
      <w:r w:rsidR="00FE0662">
        <w:t xml:space="preserve">health information exchange </w:t>
      </w:r>
      <w:r w:rsidR="00FD5EDA">
        <w:t>service and the CDR.</w:t>
      </w:r>
    </w:p>
    <w:p w14:paraId="77191E71" w14:textId="77777777" w:rsidR="004D7225" w:rsidRDefault="004D7225" w:rsidP="004D7225"/>
    <w:p w14:paraId="19B1D0AF" w14:textId="49865001" w:rsidR="004D7225" w:rsidRDefault="00FD5EDA" w:rsidP="004D7225">
      <w:r>
        <w:t xml:space="preserve">The second quarter of 2018 saw a continuation of the </w:t>
      </w:r>
      <w:r w:rsidR="00FE0662">
        <w:t>Substance Use Disorder (</w:t>
      </w:r>
      <w:r>
        <w:t>SUD</w:t>
      </w:r>
      <w:r w:rsidR="00FE0662">
        <w:t>) HIE and</w:t>
      </w:r>
      <w:r>
        <w:t xml:space="preserve"> </w:t>
      </w:r>
      <w:r w:rsidR="00FE0662">
        <w:t>C</w:t>
      </w:r>
      <w:r>
        <w:t xml:space="preserve">onsent </w:t>
      </w:r>
      <w:r w:rsidR="00FE0662">
        <w:t>Management W</w:t>
      </w:r>
      <w:r>
        <w:t xml:space="preserve">orkgroup with multiple state </w:t>
      </w:r>
      <w:r w:rsidRPr="00FD5EDA">
        <w:t>agencies collaborating and sharing information to support the exchange, re-use and consent management of SUD information</w:t>
      </w:r>
      <w:r>
        <w:t xml:space="preserve">.  </w:t>
      </w:r>
      <w:r w:rsidR="00216A10">
        <w:t xml:space="preserve">HCA, in collaboration with </w:t>
      </w:r>
      <w:proofErr w:type="spellStart"/>
      <w:r w:rsidR="00216A10">
        <w:t>DoH</w:t>
      </w:r>
      <w:proofErr w:type="spellEnd"/>
      <w:r w:rsidR="00216A10">
        <w:t xml:space="preserve">, submitted to CMS an application for an IMD Waiver (as an amendment to its Medicaid Transformation Program). The IMD Waiver includes a SUD Health IT Plan primarily focused on enhancing the functionality and use of the Prescription Monitoring Program.  </w:t>
      </w:r>
    </w:p>
    <w:p w14:paraId="559F9853" w14:textId="77777777" w:rsidR="00567E14" w:rsidRDefault="00567E14" w:rsidP="004D7225"/>
    <w:p w14:paraId="66A37E51" w14:textId="724BB540" w:rsidR="00567E14" w:rsidRDefault="00FD5EDA" w:rsidP="004D7225">
      <w:r>
        <w:lastRenderedPageBreak/>
        <w:t>HCA continu</w:t>
      </w:r>
      <w:r w:rsidR="00FE0662">
        <w:t>es</w:t>
      </w:r>
      <w:r>
        <w:t xml:space="preserve"> to implement its behavioral health data streamline project that will meet health IT interoperability goals.  The agency has secured a project manager and is working to augment state staff with contracting staff to successfully implement the project.</w:t>
      </w:r>
      <w:r w:rsidR="00567E14">
        <w:t xml:space="preserve"> </w:t>
      </w:r>
    </w:p>
    <w:p w14:paraId="5D75493E" w14:textId="7787A610" w:rsidR="00C24C25" w:rsidRDefault="00C24C25" w:rsidP="004D7225"/>
    <w:p w14:paraId="758F2C9F" w14:textId="2DD755F1" w:rsidR="00C24C25" w:rsidRPr="000A24C3" w:rsidRDefault="00C24C25" w:rsidP="00C24C25">
      <w:r w:rsidRPr="00C24C25">
        <w:t xml:space="preserve">HCA shared with ACHs information about Health Information Sharing Assessments.  As requested, HCA assisted ACHs in designing assessments of providers’ HIE capacity.  HCA provided a memo to an ACH on 90/10 funding. </w:t>
      </w:r>
      <w:r w:rsidR="00AF1D5A">
        <w:t xml:space="preserve"> H</w:t>
      </w:r>
      <w:r w:rsidRPr="00C24C25">
        <w:t>CA leadership is reviewing two Biennium Budget Decision Packages (DPs) (for State Fiscal Years 20</w:t>
      </w:r>
      <w:r w:rsidR="00AF1D5A">
        <w:t>19</w:t>
      </w:r>
      <w:r w:rsidRPr="00C24C25">
        <w:t xml:space="preserve"> – 202</w:t>
      </w:r>
      <w:r w:rsidR="00AF1D5A">
        <w:t>1</w:t>
      </w:r>
      <w:r w:rsidRPr="00C24C25">
        <w:t>) requesting state funds to draw down enhanced federal Medicaid matching payments using MMIS and HITECH authorities.  The DPs identify several areas for which enhancements to support statewide HIE are needed</w:t>
      </w:r>
      <w:r w:rsidR="00AF1D5A">
        <w:t>.</w:t>
      </w:r>
      <w:r w:rsidRPr="00C24C25">
        <w:t xml:space="preserve">  Once approved by HCA, the packages will be advanced for consideration by the Governor, and if approved, advanced to the state legislature for authorization. </w:t>
      </w:r>
    </w:p>
    <w:p w14:paraId="7EC4279D" w14:textId="4630B28A" w:rsidR="00C24C25" w:rsidRDefault="00C24C25" w:rsidP="004D7225"/>
    <w:p w14:paraId="4B470F34" w14:textId="77777777" w:rsidR="00C24C25" w:rsidRPr="00C24C25" w:rsidRDefault="00C24C25" w:rsidP="00C24C25">
      <w:pPr>
        <w:rPr>
          <w:rFonts w:ascii="Calibri" w:hAnsi="Calibri" w:cs="Calibri"/>
        </w:rPr>
      </w:pPr>
      <w:r w:rsidRPr="00C24C25">
        <w:rPr>
          <w:rFonts w:ascii="Calibri" w:hAnsi="Calibri" w:cs="Calibri"/>
        </w:rPr>
        <w:t>An Implementation Advance Planning Document (IAPD) was approved by CMS on 4/25/18.  The IAPD requested funds (using enhanced federal match rates) for FFY 2018 and FFY 2019.   Some of the activities included in the approved IAPD include:</w:t>
      </w:r>
    </w:p>
    <w:p w14:paraId="001F097F" w14:textId="77777777" w:rsidR="00C24C25" w:rsidRPr="00C24C25" w:rsidRDefault="00C24C25" w:rsidP="00C24C25">
      <w:pPr>
        <w:pStyle w:val="ListParagraph"/>
        <w:numPr>
          <w:ilvl w:val="0"/>
          <w:numId w:val="6"/>
        </w:numPr>
        <w:rPr>
          <w:rFonts w:ascii="Calibri" w:hAnsi="Calibri" w:cs="Calibri"/>
        </w:rPr>
      </w:pPr>
      <w:r w:rsidRPr="00C24C25">
        <w:rPr>
          <w:rFonts w:ascii="Calibri" w:hAnsi="Calibri" w:cs="Calibri"/>
        </w:rPr>
        <w:t xml:space="preserve">Design, Development and Implementation (DDI) costs for the Medicaid EHR Incentive Payment Program and planning. </w:t>
      </w:r>
    </w:p>
    <w:p w14:paraId="41BC0B2D" w14:textId="77777777" w:rsidR="00C24C25" w:rsidRPr="00C24C25" w:rsidRDefault="00C24C25" w:rsidP="00C24C25">
      <w:pPr>
        <w:pStyle w:val="ListParagraph"/>
        <w:numPr>
          <w:ilvl w:val="0"/>
          <w:numId w:val="6"/>
        </w:numPr>
        <w:rPr>
          <w:rFonts w:ascii="Calibri" w:hAnsi="Calibri" w:cs="Calibri"/>
        </w:rPr>
      </w:pPr>
      <w:r w:rsidRPr="00C24C25">
        <w:rPr>
          <w:rFonts w:ascii="Calibri" w:hAnsi="Calibri" w:cs="Calibri"/>
        </w:rPr>
        <w:t>Support implementation activities for meaningful use initiatives in the State Medicaid Health Information Technology Plan.</w:t>
      </w:r>
    </w:p>
    <w:p w14:paraId="6605A679" w14:textId="77777777" w:rsidR="00C24C25" w:rsidRPr="00C24C25" w:rsidRDefault="00C24C25" w:rsidP="00C24C25">
      <w:pPr>
        <w:pStyle w:val="ListParagraph"/>
        <w:numPr>
          <w:ilvl w:val="0"/>
          <w:numId w:val="6"/>
        </w:numPr>
        <w:rPr>
          <w:rFonts w:ascii="Calibri" w:hAnsi="Calibri" w:cs="Calibri"/>
        </w:rPr>
      </w:pPr>
      <w:r w:rsidRPr="00C24C25">
        <w:rPr>
          <w:rFonts w:ascii="Calibri" w:hAnsi="Calibri" w:cs="Calibri"/>
        </w:rPr>
        <w:t>Expand data in the CDR.</w:t>
      </w:r>
    </w:p>
    <w:p w14:paraId="01D0521E" w14:textId="77777777" w:rsidR="00C24C25" w:rsidRPr="00C24C25" w:rsidRDefault="00C24C25" w:rsidP="00C24C25">
      <w:pPr>
        <w:pStyle w:val="ListParagraph"/>
        <w:numPr>
          <w:ilvl w:val="0"/>
          <w:numId w:val="6"/>
        </w:numPr>
        <w:rPr>
          <w:rFonts w:ascii="Calibri" w:hAnsi="Calibri" w:cs="Calibri"/>
        </w:rPr>
      </w:pPr>
      <w:r w:rsidRPr="00C24C25">
        <w:rPr>
          <w:rFonts w:ascii="Calibri" w:hAnsi="Calibri" w:cs="Calibri"/>
        </w:rPr>
        <w:t>Subsidize/reduce CDR on-boarding costs.</w:t>
      </w:r>
    </w:p>
    <w:p w14:paraId="2FEAFA6D" w14:textId="77777777" w:rsidR="00C24C25" w:rsidRPr="00C24C25" w:rsidRDefault="00C24C25" w:rsidP="00C24C25">
      <w:pPr>
        <w:pStyle w:val="ListParagraph"/>
        <w:numPr>
          <w:ilvl w:val="0"/>
          <w:numId w:val="6"/>
        </w:numPr>
        <w:rPr>
          <w:rFonts w:ascii="Calibri" w:hAnsi="Calibri" w:cs="Calibri"/>
        </w:rPr>
      </w:pPr>
      <w:r w:rsidRPr="00C24C25">
        <w:rPr>
          <w:rFonts w:ascii="Calibri" w:hAnsi="Calibri" w:cs="Calibri"/>
        </w:rPr>
        <w:t>Acquire data exchange tool(s) to provide access to data from non-EHR systems used by behavioral health (both mental health and substance abuse) and long-term care providers; and cleanse, transform and load into the CDR. Work is underway to integrate into the CDR pharmacy data from state-operated residential service providers for persons with developmental disabilities.</w:t>
      </w:r>
    </w:p>
    <w:p w14:paraId="649603E9" w14:textId="77777777" w:rsidR="00C24C25" w:rsidRPr="00C24C25" w:rsidRDefault="00C24C25" w:rsidP="00C24C25">
      <w:pPr>
        <w:pStyle w:val="ListParagraph"/>
        <w:numPr>
          <w:ilvl w:val="0"/>
          <w:numId w:val="6"/>
        </w:numPr>
        <w:rPr>
          <w:rFonts w:ascii="Calibri" w:hAnsi="Calibri" w:cs="Calibri"/>
        </w:rPr>
      </w:pPr>
      <w:r w:rsidRPr="00C24C25">
        <w:rPr>
          <w:rFonts w:ascii="Calibri" w:hAnsi="Calibri" w:cs="Calibri"/>
        </w:rPr>
        <w:t>Continue support for DOH use of the HIE and build on the interoperability between DOH surveillance systems and registries and Medicaid provider EHR systems to increase Meaningful Use so that critical population health and surveillance data is reported and accessed from the point of care.</w:t>
      </w:r>
    </w:p>
    <w:p w14:paraId="6A20EA18" w14:textId="77777777" w:rsidR="00C24C25" w:rsidRPr="00C24C25" w:rsidRDefault="00C24C25" w:rsidP="00C24C25">
      <w:pPr>
        <w:pStyle w:val="ListParagraph"/>
        <w:numPr>
          <w:ilvl w:val="0"/>
          <w:numId w:val="6"/>
        </w:numPr>
        <w:rPr>
          <w:rFonts w:ascii="Calibri" w:hAnsi="Calibri" w:cs="Calibri"/>
        </w:rPr>
      </w:pPr>
      <w:r w:rsidRPr="00C24C25">
        <w:rPr>
          <w:rFonts w:ascii="Calibri" w:hAnsi="Calibri" w:cs="Calibri"/>
        </w:rPr>
        <w:t>Continue support for Project Management Resource to support the Health IT Operational Plan initiatives.</w:t>
      </w:r>
    </w:p>
    <w:p w14:paraId="0BC17C81" w14:textId="77777777" w:rsidR="00C24C25" w:rsidRPr="00814773" w:rsidRDefault="00C24C25" w:rsidP="00C24C25">
      <w:pPr>
        <w:pStyle w:val="ListParagraph"/>
        <w:rPr>
          <w:sz w:val="20"/>
          <w:szCs w:val="20"/>
        </w:rPr>
      </w:pPr>
    </w:p>
    <w:p w14:paraId="2931E549" w14:textId="77777777" w:rsidR="00F32B61" w:rsidRDefault="00F32B61" w:rsidP="004D7225"/>
    <w:p w14:paraId="7A35DEA8" w14:textId="77777777" w:rsidR="009A78D0" w:rsidRDefault="00F15110" w:rsidP="00F32B61">
      <w:pPr>
        <w:pStyle w:val="Heading1"/>
      </w:pPr>
      <w:r>
        <w:t>Progress to date</w:t>
      </w:r>
    </w:p>
    <w:p w14:paraId="7FABDB9F" w14:textId="77777777" w:rsidR="009A78D0" w:rsidRPr="009A78D0" w:rsidRDefault="009A78D0" w:rsidP="009A78D0"/>
    <w:p w14:paraId="7F15680E" w14:textId="565ACA41" w:rsidR="00F15110" w:rsidRDefault="00F32B61" w:rsidP="00F15110">
      <w:r>
        <w:t xml:space="preserve">Washington State has made considerable progress in advancing its Health IT Operational Plan, including </w:t>
      </w:r>
      <w:r w:rsidR="00F15110">
        <w:t xml:space="preserve">coordinating with Tribes; disseminating information to ACHs and partners on state and national health information </w:t>
      </w:r>
      <w:r w:rsidR="00FE0662">
        <w:t xml:space="preserve">exchange </w:t>
      </w:r>
      <w:r w:rsidR="00F15110">
        <w:t xml:space="preserve">resources; </w:t>
      </w:r>
      <w:r w:rsidR="00567E14">
        <w:t xml:space="preserve">introducing </w:t>
      </w:r>
      <w:r w:rsidR="00F15110" w:rsidRPr="00F15110">
        <w:t xml:space="preserve">ACHs, </w:t>
      </w:r>
      <w:r w:rsidR="00567E14">
        <w:t>p</w:t>
      </w:r>
      <w:r w:rsidR="00F15110" w:rsidRPr="00F15110">
        <w:t>roviders and other</w:t>
      </w:r>
      <w:r w:rsidR="00567E14">
        <w:t>s</w:t>
      </w:r>
      <w:r w:rsidR="00F15110" w:rsidRPr="00F15110">
        <w:t xml:space="preserve"> to </w:t>
      </w:r>
      <w:r w:rsidR="00567E14">
        <w:t xml:space="preserve">the </w:t>
      </w:r>
      <w:r w:rsidR="00F15110" w:rsidRPr="00F15110">
        <w:t xml:space="preserve">CMS Health </w:t>
      </w:r>
      <w:r w:rsidR="00FE0662">
        <w:t>I</w:t>
      </w:r>
      <w:r w:rsidR="00F15110" w:rsidRPr="00F15110">
        <w:t xml:space="preserve">nformation </w:t>
      </w:r>
      <w:r w:rsidR="00FE0662">
        <w:t>S</w:t>
      </w:r>
      <w:r w:rsidR="00F15110" w:rsidRPr="00F15110">
        <w:t xml:space="preserve">haring </w:t>
      </w:r>
      <w:r w:rsidR="00FE0662">
        <w:t xml:space="preserve">(HIS) </w:t>
      </w:r>
      <w:r w:rsidR="00F15110" w:rsidRPr="00F15110">
        <w:t>assessment</w:t>
      </w:r>
      <w:r w:rsidR="00567E14">
        <w:t xml:space="preserve"> and supporting ACHs in their efforts to assess the health IT/HIE capacities and needs of providers in their region;</w:t>
      </w:r>
      <w:r w:rsidR="00C07A1A">
        <w:t xml:space="preserve"> </w:t>
      </w:r>
      <w:r w:rsidR="00F15110" w:rsidRPr="00F15110">
        <w:t xml:space="preserve">and </w:t>
      </w:r>
      <w:r w:rsidR="00FD5EDA">
        <w:t>continuing</w:t>
      </w:r>
      <w:r w:rsidR="00F15110" w:rsidRPr="00F15110">
        <w:t xml:space="preserve"> the SUD </w:t>
      </w:r>
      <w:r w:rsidR="00FE0662">
        <w:t>HIE and C</w:t>
      </w:r>
      <w:r w:rsidR="00F15110" w:rsidRPr="00F15110">
        <w:t xml:space="preserve">onsent </w:t>
      </w:r>
      <w:r w:rsidR="00FE0662">
        <w:t>M</w:t>
      </w:r>
      <w:r w:rsidR="00F15110" w:rsidRPr="00F15110">
        <w:t xml:space="preserve">anagement </w:t>
      </w:r>
      <w:r w:rsidR="00FE0662">
        <w:t>W</w:t>
      </w:r>
      <w:r w:rsidR="00F15110" w:rsidRPr="00F15110">
        <w:t>orkgroup.</w:t>
      </w:r>
    </w:p>
    <w:p w14:paraId="7345E6AE" w14:textId="77777777" w:rsidR="00F15110" w:rsidRDefault="00F15110" w:rsidP="00F15110"/>
    <w:p w14:paraId="5BAF9C51" w14:textId="1D72E2B8" w:rsidR="00285B1D" w:rsidRDefault="00F15110" w:rsidP="00285B1D">
      <w:r>
        <w:t>At the end of Q</w:t>
      </w:r>
      <w:r w:rsidR="00FE0662">
        <w:t>2</w:t>
      </w:r>
      <w:r w:rsidR="00C24C25">
        <w:t xml:space="preserve">, HCA </w:t>
      </w:r>
      <w:r>
        <w:t xml:space="preserve">completed approximately </w:t>
      </w:r>
      <w:r w:rsidR="00D77453">
        <w:t>9</w:t>
      </w:r>
      <w:r w:rsidR="00FD5EDA">
        <w:t>5</w:t>
      </w:r>
      <w:r>
        <w:t xml:space="preserve">% of all deliverables </w:t>
      </w:r>
      <w:r w:rsidR="00FD5EDA">
        <w:t>due in Quarter 2</w:t>
      </w:r>
      <w:r w:rsidR="00D77453">
        <w:t>.  There was one deliverable</w:t>
      </w:r>
      <w:r w:rsidR="00481A26">
        <w:t xml:space="preserve"> that remain overdue</w:t>
      </w:r>
      <w:r w:rsidR="00285B1D">
        <w:t xml:space="preserve"> (discussed further in the challenges section of this report</w:t>
      </w:r>
      <w:r w:rsidR="00641782">
        <w:t>)</w:t>
      </w:r>
      <w:r w:rsidR="00481A26">
        <w:t xml:space="preserve">.  </w:t>
      </w:r>
    </w:p>
    <w:p w14:paraId="7B0CBA0C" w14:textId="77777777" w:rsidR="00F15110" w:rsidRDefault="00F15110" w:rsidP="00285B1D"/>
    <w:p w14:paraId="324A4A68" w14:textId="77777777" w:rsidR="00F15110" w:rsidRDefault="00F15110" w:rsidP="00F15110"/>
    <w:p w14:paraId="67154EEC" w14:textId="4EA6C735" w:rsidR="00F15110" w:rsidRDefault="00D77453" w:rsidP="00F15110">
      <w:r>
        <w:rPr>
          <w:noProof/>
        </w:rPr>
        <w:drawing>
          <wp:inline distT="0" distB="0" distL="0" distR="0" wp14:anchorId="6F351F9B" wp14:editId="0DA0420D">
            <wp:extent cx="5943600" cy="2676525"/>
            <wp:effectExtent l="0" t="0" r="0" b="3175"/>
            <wp:docPr id="3" name="Picture 2">
              <a:extLst xmlns:a="http://schemas.openxmlformats.org/drawingml/2006/main">
                <a:ext uri="{FF2B5EF4-FFF2-40B4-BE49-F238E27FC236}">
                  <a16:creationId xmlns:a16="http://schemas.microsoft.com/office/drawing/2014/main" id="{6362F4F7-0872-0042-95ED-7DE6A34CF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362F4F7-0872-0042-95ED-7DE6A34CF65B}"/>
                        </a:ext>
                      </a:extLst>
                    </pic:cNvPr>
                    <pic:cNvPicPr>
                      <a:picLocks noChangeAspect="1"/>
                    </pic:cNvPicPr>
                  </pic:nvPicPr>
                  <pic:blipFill>
                    <a:blip r:embed="rId9"/>
                    <a:stretch>
                      <a:fillRect/>
                    </a:stretch>
                  </pic:blipFill>
                  <pic:spPr>
                    <a:xfrm>
                      <a:off x="0" y="0"/>
                      <a:ext cx="5943600" cy="2676525"/>
                    </a:xfrm>
                    <a:prstGeom prst="rect">
                      <a:avLst/>
                    </a:prstGeom>
                  </pic:spPr>
                </pic:pic>
              </a:graphicData>
            </a:graphic>
          </wp:inline>
        </w:drawing>
      </w:r>
    </w:p>
    <w:p w14:paraId="37819717" w14:textId="77777777" w:rsidR="00F15110" w:rsidRDefault="00F15110" w:rsidP="00F15110"/>
    <w:p w14:paraId="018E21A7" w14:textId="77777777" w:rsidR="00F15110" w:rsidRDefault="00F15110" w:rsidP="00F15110"/>
    <w:p w14:paraId="44ADC468" w14:textId="77777777" w:rsidR="00F15110" w:rsidRDefault="00F15110" w:rsidP="00F15110">
      <w:r>
        <w:t>Washington State continues to work on deliverables in all major deliverable categor</w:t>
      </w:r>
      <w:r w:rsidR="00F8366E">
        <w:t>ies</w:t>
      </w:r>
      <w:r>
        <w:t>.</w:t>
      </w:r>
    </w:p>
    <w:p w14:paraId="5954A139" w14:textId="77777777" w:rsidR="00F15110" w:rsidRDefault="00F15110" w:rsidP="00F15110"/>
    <w:p w14:paraId="1EB9EC0A" w14:textId="77777777" w:rsidR="00F15110" w:rsidRDefault="00F15110" w:rsidP="00F15110"/>
    <w:p w14:paraId="5DA0F76D" w14:textId="73160588" w:rsidR="00F15110" w:rsidRPr="00F15110" w:rsidRDefault="00D77453" w:rsidP="00F15110">
      <w:r>
        <w:rPr>
          <w:noProof/>
        </w:rPr>
        <w:drawing>
          <wp:inline distT="0" distB="0" distL="0" distR="0" wp14:anchorId="2EDF384E" wp14:editId="6E75A460">
            <wp:extent cx="5943600" cy="2675890"/>
            <wp:effectExtent l="0" t="0" r="0" b="3810"/>
            <wp:docPr id="10" name="Picture 1">
              <a:extLst xmlns:a="http://schemas.openxmlformats.org/drawingml/2006/main">
                <a:ext uri="{FF2B5EF4-FFF2-40B4-BE49-F238E27FC236}">
                  <a16:creationId xmlns:a16="http://schemas.microsoft.com/office/drawing/2014/main" id="{AFFEF17A-1390-6E40-A085-AD701319B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FEF17A-1390-6E40-A085-AD701319BDBF}"/>
                        </a:ext>
                      </a:extLst>
                    </pic:cNvPr>
                    <pic:cNvPicPr>
                      <a:picLocks noChangeAspect="1"/>
                    </pic:cNvPicPr>
                  </pic:nvPicPr>
                  <pic:blipFill>
                    <a:blip r:embed="rId10"/>
                    <a:stretch>
                      <a:fillRect/>
                    </a:stretch>
                  </pic:blipFill>
                  <pic:spPr>
                    <a:xfrm>
                      <a:off x="0" y="0"/>
                      <a:ext cx="5943600" cy="2675890"/>
                    </a:xfrm>
                    <a:prstGeom prst="rect">
                      <a:avLst/>
                    </a:prstGeom>
                  </pic:spPr>
                </pic:pic>
              </a:graphicData>
            </a:graphic>
          </wp:inline>
        </w:drawing>
      </w:r>
    </w:p>
    <w:p w14:paraId="0340E87E" w14:textId="77777777" w:rsidR="009A78D0" w:rsidRPr="009A78D0" w:rsidRDefault="00F15110" w:rsidP="009A78D0">
      <w:r>
        <w:t xml:space="preserve"> </w:t>
      </w:r>
    </w:p>
    <w:p w14:paraId="6C23DFB8" w14:textId="77777777" w:rsidR="009A78D0" w:rsidRPr="009A78D0" w:rsidRDefault="00F15110" w:rsidP="00F15110">
      <w:pPr>
        <w:pStyle w:val="Heading1"/>
      </w:pPr>
      <w:r>
        <w:lastRenderedPageBreak/>
        <w:t>Challenges</w:t>
      </w:r>
    </w:p>
    <w:p w14:paraId="374A8DA8" w14:textId="2D8C80CE" w:rsidR="00285B1D" w:rsidRDefault="00F15110" w:rsidP="00285B1D">
      <w:r>
        <w:t xml:space="preserve">While substantial progress has been made there </w:t>
      </w:r>
      <w:r w:rsidR="00D77453">
        <w:t xml:space="preserve">is </w:t>
      </w:r>
      <w:r>
        <w:t xml:space="preserve">a </w:t>
      </w:r>
      <w:r w:rsidR="00D77453">
        <w:t>one deliverable</w:t>
      </w:r>
      <w:r w:rsidR="00285B1D">
        <w:t xml:space="preserve"> that </w:t>
      </w:r>
      <w:r w:rsidR="00D77453">
        <w:t>is overdue.  This deliverable</w:t>
      </w:r>
      <w:r w:rsidR="00285B1D">
        <w:t xml:space="preserve"> include the following:</w:t>
      </w:r>
    </w:p>
    <w:p w14:paraId="42294185" w14:textId="77777777" w:rsidR="0076417E" w:rsidRDefault="0076417E" w:rsidP="0076417E">
      <w:pPr>
        <w:shd w:val="clear" w:color="auto" w:fill="FFFFFF"/>
        <w:rPr>
          <w:rFonts w:ascii="Segoe UI" w:hAnsi="Segoe UI" w:cs="Segoe UI"/>
          <w:color w:val="212121"/>
          <w:sz w:val="23"/>
          <w:szCs w:val="23"/>
        </w:rPr>
      </w:pPr>
      <w:r>
        <w:rPr>
          <w:rFonts w:ascii="Calibri" w:hAnsi="Calibri" w:cs="Calibri"/>
          <w:color w:val="1F497D"/>
          <w:sz w:val="22"/>
          <w:szCs w:val="22"/>
        </w:rPr>
        <w:t> </w:t>
      </w:r>
    </w:p>
    <w:tbl>
      <w:tblPr>
        <w:tblW w:w="0" w:type="auto"/>
        <w:tblCellMar>
          <w:left w:w="0" w:type="dxa"/>
          <w:right w:w="0" w:type="dxa"/>
        </w:tblCellMar>
        <w:tblLook w:val="04A0" w:firstRow="1" w:lastRow="0" w:firstColumn="1" w:lastColumn="0" w:noHBand="0" w:noVBand="1"/>
      </w:tblPr>
      <w:tblGrid>
        <w:gridCol w:w="983"/>
        <w:gridCol w:w="3137"/>
        <w:gridCol w:w="5220"/>
      </w:tblGrid>
      <w:tr w:rsidR="0076417E" w14:paraId="21E6AEE0" w14:textId="77777777" w:rsidTr="00C24C25">
        <w:trPr>
          <w:trHeight w:val="143"/>
        </w:trPr>
        <w:tc>
          <w:tcPr>
            <w:tcW w:w="9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C35CD7" w14:textId="07A06ECD" w:rsidR="0076417E" w:rsidRPr="000A24C3" w:rsidRDefault="0076417E" w:rsidP="00AB3B6E">
            <w:pPr>
              <w:rPr>
                <w:rFonts w:ascii="Times New Roman" w:hAnsi="Times New Roman" w:cs="Times New Roman"/>
              </w:rPr>
            </w:pPr>
            <w:r w:rsidRPr="000A24C3">
              <w:rPr>
                <w:rFonts w:ascii="Calibri" w:hAnsi="Calibri" w:cs="Calibri"/>
                <w:b/>
                <w:bCs/>
                <w:sz w:val="22"/>
                <w:szCs w:val="22"/>
              </w:rPr>
              <w:t xml:space="preserve">Task Number </w:t>
            </w:r>
          </w:p>
        </w:tc>
        <w:tc>
          <w:tcPr>
            <w:tcW w:w="3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CD6F8F" w14:textId="77777777" w:rsidR="0076417E" w:rsidRPr="000A24C3" w:rsidRDefault="0076417E" w:rsidP="0076417E">
            <w:pPr>
              <w:rPr>
                <w:b/>
              </w:rPr>
            </w:pPr>
            <w:r w:rsidRPr="000A24C3">
              <w:rPr>
                <w:rFonts w:ascii="Calibri" w:hAnsi="Calibri" w:cs="Calibri"/>
                <w:b/>
                <w:sz w:val="22"/>
                <w:szCs w:val="22"/>
              </w:rPr>
              <w:t>Task</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3D976B" w14:textId="77777777" w:rsidR="0076417E" w:rsidRPr="000A24C3" w:rsidRDefault="0076417E" w:rsidP="0076417E">
            <w:pPr>
              <w:rPr>
                <w:b/>
              </w:rPr>
            </w:pPr>
            <w:r w:rsidRPr="000A24C3">
              <w:rPr>
                <w:rFonts w:ascii="Calibri" w:hAnsi="Calibri" w:cs="Calibri"/>
                <w:b/>
                <w:sz w:val="22"/>
                <w:szCs w:val="22"/>
              </w:rPr>
              <w:t>Comment</w:t>
            </w:r>
          </w:p>
        </w:tc>
      </w:tr>
      <w:tr w:rsidR="0076417E" w14:paraId="464D9284" w14:textId="77777777" w:rsidTr="00C24C25">
        <w:trPr>
          <w:trHeight w:val="2870"/>
        </w:trPr>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18BAF5" w14:textId="77777777" w:rsidR="0076417E" w:rsidRPr="000A24C3" w:rsidRDefault="0076417E" w:rsidP="0076417E">
            <w:r w:rsidRPr="000A24C3">
              <w:rPr>
                <w:rFonts w:ascii="Calibri" w:hAnsi="Calibri" w:cs="Calibri"/>
                <w:b/>
                <w:bCs/>
                <w:sz w:val="22"/>
                <w:szCs w:val="22"/>
              </w:rPr>
              <w:t>O5-011</w:t>
            </w:r>
          </w:p>
          <w:p w14:paraId="5CC92A69" w14:textId="1E127851" w:rsidR="0076417E" w:rsidRPr="000A24C3" w:rsidRDefault="0076417E" w:rsidP="0076417E"/>
        </w:tc>
        <w:tc>
          <w:tcPr>
            <w:tcW w:w="3137" w:type="dxa"/>
            <w:tcBorders>
              <w:top w:val="nil"/>
              <w:left w:val="nil"/>
              <w:bottom w:val="single" w:sz="8" w:space="0" w:color="auto"/>
              <w:right w:val="single" w:sz="8" w:space="0" w:color="auto"/>
            </w:tcBorders>
            <w:tcMar>
              <w:top w:w="0" w:type="dxa"/>
              <w:left w:w="108" w:type="dxa"/>
              <w:bottom w:w="0" w:type="dxa"/>
              <w:right w:w="108" w:type="dxa"/>
            </w:tcMar>
            <w:hideMark/>
          </w:tcPr>
          <w:p w14:paraId="2C6CDD15" w14:textId="08619302" w:rsidR="0076417E" w:rsidRPr="000A24C3" w:rsidRDefault="0076417E" w:rsidP="0076417E">
            <w:r w:rsidRPr="000A24C3">
              <w:rPr>
                <w:rFonts w:ascii="Calibri" w:hAnsi="Calibri" w:cs="Calibri"/>
                <w:sz w:val="20"/>
                <w:szCs w:val="20"/>
              </w:rPr>
              <w:t>Based on assessment findings and need (and barriers/ gaps) for HIE at the point of care, and available HIT/health information exchange tools</w:t>
            </w:r>
            <w:r w:rsidR="00BC45B5">
              <w:rPr>
                <w:rFonts w:ascii="Calibri" w:hAnsi="Calibri" w:cs="Calibri"/>
                <w:sz w:val="20"/>
                <w:szCs w:val="20"/>
              </w:rPr>
              <w:t>.</w:t>
            </w:r>
            <w:r w:rsidRPr="000A24C3">
              <w:rPr>
                <w:rFonts w:ascii="Calibri" w:hAnsi="Calibri" w:cs="Calibri"/>
                <w:sz w:val="20"/>
                <w:szCs w:val="20"/>
              </w:rPr>
              <w:t xml:space="preserve"> HCA will identify:</w:t>
            </w:r>
          </w:p>
          <w:p w14:paraId="676A276C" w14:textId="77777777" w:rsidR="0076417E" w:rsidRPr="000A24C3" w:rsidRDefault="0076417E" w:rsidP="0076417E">
            <w:r w:rsidRPr="000A24C3">
              <w:rPr>
                <w:rFonts w:ascii="Calibri" w:hAnsi="Calibri" w:cs="Calibri"/>
                <w:sz w:val="20"/>
                <w:szCs w:val="20"/>
              </w:rPr>
              <w:t>•  shared HIT/health information exchange/care coordination tools</w:t>
            </w:r>
          </w:p>
          <w:p w14:paraId="6E774E4C" w14:textId="77777777" w:rsidR="0076417E" w:rsidRPr="000A24C3" w:rsidRDefault="0076417E" w:rsidP="0076417E">
            <w:r w:rsidRPr="000A24C3">
              <w:rPr>
                <w:rFonts w:ascii="Calibri" w:hAnsi="Calibri" w:cs="Calibri"/>
                <w:sz w:val="20"/>
                <w:szCs w:val="20"/>
              </w:rPr>
              <w:t>•  funding for shared HIT/health information exchange tools</w:t>
            </w:r>
          </w:p>
          <w:p w14:paraId="7203A14F" w14:textId="77777777" w:rsidR="0076417E" w:rsidRPr="000A24C3" w:rsidRDefault="0076417E" w:rsidP="0076417E">
            <w:r w:rsidRPr="000A24C3">
              <w:rPr>
                <w:rFonts w:ascii="Calibri" w:hAnsi="Calibri" w:cs="Calibri"/>
                <w:sz w:val="20"/>
                <w:szCs w:val="20"/>
              </w:rPr>
              <w:t>• shared HIT/health information exchange contracts/contracting language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0503C87" w14:textId="77777777" w:rsidR="0076417E" w:rsidRPr="000A24C3" w:rsidRDefault="0076417E" w:rsidP="0076417E">
            <w:r w:rsidRPr="000A24C3">
              <w:rPr>
                <w:rFonts w:ascii="Calibri" w:hAnsi="Calibri" w:cs="Calibri"/>
                <w:sz w:val="20"/>
                <w:szCs w:val="20"/>
              </w:rPr>
              <w:t>Task updated and edits:</w:t>
            </w:r>
          </w:p>
          <w:p w14:paraId="712EBF03" w14:textId="77777777" w:rsidR="0076417E" w:rsidRPr="000A24C3" w:rsidRDefault="0076417E" w:rsidP="0076417E">
            <w:pPr>
              <w:pStyle w:val="ListParagraph"/>
              <w:numPr>
                <w:ilvl w:val="0"/>
                <w:numId w:val="5"/>
              </w:numPr>
            </w:pPr>
            <w:r w:rsidRPr="000A24C3">
              <w:rPr>
                <w:rFonts w:ascii="Calibri" w:hAnsi="Calibri" w:cs="Calibri"/>
                <w:sz w:val="20"/>
                <w:szCs w:val="20"/>
              </w:rPr>
              <w:t>HCA engaged in one on one conversations with ACHs through which shared/common HIE needs were identified across ACHs.</w:t>
            </w:r>
          </w:p>
          <w:p w14:paraId="2962CA3B" w14:textId="6ECB8F24" w:rsidR="00CB7F58" w:rsidRPr="000A24C3" w:rsidRDefault="0076417E" w:rsidP="0076417E">
            <w:pPr>
              <w:pStyle w:val="ListParagraph"/>
              <w:numPr>
                <w:ilvl w:val="0"/>
                <w:numId w:val="5"/>
              </w:numPr>
              <w:rPr>
                <w:sz w:val="22"/>
                <w:szCs w:val="22"/>
              </w:rPr>
            </w:pPr>
            <w:r w:rsidRPr="000A24C3">
              <w:rPr>
                <w:rFonts w:ascii="Calibri" w:hAnsi="Calibri" w:cs="Calibri"/>
                <w:sz w:val="20"/>
                <w:szCs w:val="20"/>
              </w:rPr>
              <w:t>HCA is developing a 24 month HI</w:t>
            </w:r>
            <w:r w:rsidR="003C0B53" w:rsidRPr="000A24C3">
              <w:rPr>
                <w:rFonts w:ascii="Calibri" w:hAnsi="Calibri" w:cs="Calibri"/>
                <w:sz w:val="20"/>
                <w:szCs w:val="20"/>
              </w:rPr>
              <w:t>E</w:t>
            </w:r>
            <w:r w:rsidRPr="000A24C3">
              <w:rPr>
                <w:rFonts w:ascii="Calibri" w:hAnsi="Calibri" w:cs="Calibri"/>
                <w:sz w:val="20"/>
                <w:szCs w:val="20"/>
              </w:rPr>
              <w:t>/CDR Roadmap that includes several activities that are topically aligned with ACH identified needs</w:t>
            </w:r>
            <w:r w:rsidR="00CB7F58" w:rsidRPr="000A24C3">
              <w:rPr>
                <w:rFonts w:ascii="Calibri" w:hAnsi="Calibri" w:cs="Calibri"/>
                <w:sz w:val="20"/>
                <w:szCs w:val="20"/>
              </w:rPr>
              <w:t>.</w:t>
            </w:r>
          </w:p>
          <w:p w14:paraId="4DF501E4" w14:textId="0748A563" w:rsidR="0076417E" w:rsidRPr="000A24C3" w:rsidRDefault="00AF1D5A" w:rsidP="00CB7F58">
            <w:pPr>
              <w:pStyle w:val="ListParagraph"/>
              <w:numPr>
                <w:ilvl w:val="0"/>
                <w:numId w:val="5"/>
              </w:numPr>
              <w:rPr>
                <w:sz w:val="20"/>
                <w:szCs w:val="20"/>
              </w:rPr>
            </w:pPr>
            <w:r>
              <w:rPr>
                <w:rFonts w:ascii="Calibri" w:hAnsi="Calibri" w:cs="Calibri"/>
                <w:sz w:val="20"/>
                <w:szCs w:val="20"/>
              </w:rPr>
              <w:t xml:space="preserve">CMS approved an amendment to the Medicaid Transformation Project to permit Medicaid coverage of substance use disorder (SUD) services in Institutions for Mental Diseases (IMDs).  The IMD Waiver requires an SUD HIT Plan which includes tasks related to </w:t>
            </w:r>
            <w:r w:rsidR="00CB7F58" w:rsidRPr="000A24C3">
              <w:rPr>
                <w:rFonts w:ascii="Calibri" w:hAnsi="Calibri" w:cs="Calibri"/>
                <w:sz w:val="20"/>
                <w:szCs w:val="20"/>
              </w:rPr>
              <w:t xml:space="preserve">enhancing the functionality and use of the Prescription Monitoring Program, </w:t>
            </w:r>
            <w:r w:rsidR="0076417E" w:rsidRPr="000A24C3">
              <w:rPr>
                <w:rFonts w:ascii="Calibri" w:hAnsi="Calibri" w:cs="Calibri"/>
                <w:sz w:val="20"/>
                <w:szCs w:val="20"/>
              </w:rPr>
              <w:t>and support</w:t>
            </w:r>
            <w:r w:rsidR="00CB7F58" w:rsidRPr="000A24C3">
              <w:rPr>
                <w:rFonts w:ascii="Calibri" w:hAnsi="Calibri" w:cs="Calibri"/>
                <w:sz w:val="20"/>
                <w:szCs w:val="20"/>
              </w:rPr>
              <w:t>ing</w:t>
            </w:r>
            <w:r w:rsidR="0076417E" w:rsidRPr="000A24C3">
              <w:rPr>
                <w:rFonts w:ascii="Calibri" w:hAnsi="Calibri" w:cs="Calibri"/>
                <w:sz w:val="20"/>
                <w:szCs w:val="20"/>
              </w:rPr>
              <w:t xml:space="preserve"> the exchange and consent management of SUD information.  </w:t>
            </w:r>
            <w:r>
              <w:rPr>
                <w:rFonts w:ascii="Calibri" w:hAnsi="Calibri" w:cs="Calibri"/>
                <w:sz w:val="20"/>
                <w:szCs w:val="20"/>
              </w:rPr>
              <w:t xml:space="preserve">HCA will pursue funding to support the implementation of these activities. </w:t>
            </w:r>
          </w:p>
          <w:p w14:paraId="4B56541B" w14:textId="77777777" w:rsidR="000D212B" w:rsidRPr="000A24C3" w:rsidRDefault="00CB7F58" w:rsidP="00CB7F58">
            <w:pPr>
              <w:pStyle w:val="ListParagraph"/>
              <w:numPr>
                <w:ilvl w:val="0"/>
                <w:numId w:val="5"/>
              </w:numPr>
              <w:rPr>
                <w:sz w:val="20"/>
                <w:szCs w:val="20"/>
              </w:rPr>
            </w:pPr>
            <w:r w:rsidRPr="000A24C3">
              <w:rPr>
                <w:sz w:val="20"/>
                <w:szCs w:val="20"/>
              </w:rPr>
              <w:t xml:space="preserve">HCA continues conversations with </w:t>
            </w:r>
            <w:proofErr w:type="spellStart"/>
            <w:r w:rsidRPr="000A24C3">
              <w:rPr>
                <w:sz w:val="20"/>
                <w:szCs w:val="20"/>
              </w:rPr>
              <w:t>OneHealthPort</w:t>
            </w:r>
            <w:proofErr w:type="spellEnd"/>
            <w:r w:rsidR="000D212B" w:rsidRPr="000A24C3">
              <w:rPr>
                <w:sz w:val="20"/>
                <w:szCs w:val="20"/>
              </w:rPr>
              <w:t xml:space="preserve"> (OHP)</w:t>
            </w:r>
            <w:r w:rsidRPr="000A24C3">
              <w:rPr>
                <w:sz w:val="20"/>
                <w:szCs w:val="20"/>
              </w:rPr>
              <w:t xml:space="preserve"> to </w:t>
            </w:r>
            <w:r w:rsidR="000D212B" w:rsidRPr="000A24C3">
              <w:rPr>
                <w:sz w:val="20"/>
                <w:szCs w:val="20"/>
              </w:rPr>
              <w:t>determine</w:t>
            </w:r>
            <w:r w:rsidRPr="000A24C3">
              <w:rPr>
                <w:sz w:val="20"/>
                <w:szCs w:val="20"/>
              </w:rPr>
              <w:t xml:space="preserve"> the feasibility of </w:t>
            </w:r>
            <w:r w:rsidR="00B84A2C" w:rsidRPr="000A24C3">
              <w:rPr>
                <w:sz w:val="20"/>
                <w:szCs w:val="20"/>
              </w:rPr>
              <w:t xml:space="preserve">supporting </w:t>
            </w:r>
            <w:r w:rsidR="00AB3B6E" w:rsidRPr="000A24C3">
              <w:rPr>
                <w:sz w:val="20"/>
                <w:szCs w:val="20"/>
              </w:rPr>
              <w:t>priority HIE areas</w:t>
            </w:r>
            <w:r w:rsidR="000D212B" w:rsidRPr="000A24C3">
              <w:rPr>
                <w:sz w:val="20"/>
                <w:szCs w:val="20"/>
              </w:rPr>
              <w:t xml:space="preserve"> and consider</w:t>
            </w:r>
            <w:r w:rsidR="00B84A2C" w:rsidRPr="000A24C3">
              <w:rPr>
                <w:sz w:val="20"/>
                <w:szCs w:val="20"/>
              </w:rPr>
              <w:t>ing</w:t>
            </w:r>
            <w:r w:rsidR="000D212B" w:rsidRPr="000A24C3">
              <w:rPr>
                <w:sz w:val="20"/>
                <w:szCs w:val="20"/>
              </w:rPr>
              <w:t xml:space="preserve"> additional resources</w:t>
            </w:r>
            <w:r w:rsidR="00B84A2C" w:rsidRPr="000A24C3">
              <w:rPr>
                <w:sz w:val="20"/>
                <w:szCs w:val="20"/>
              </w:rPr>
              <w:t>,</w:t>
            </w:r>
            <w:r w:rsidR="000D212B" w:rsidRPr="000A24C3">
              <w:rPr>
                <w:sz w:val="20"/>
                <w:szCs w:val="20"/>
              </w:rPr>
              <w:t xml:space="preserve"> if necessary.</w:t>
            </w:r>
          </w:p>
          <w:p w14:paraId="008E9CEE" w14:textId="08FD86F5" w:rsidR="00CB7F58" w:rsidRPr="00BC45B5" w:rsidRDefault="000D212B" w:rsidP="00803D52">
            <w:pPr>
              <w:pStyle w:val="ListParagraph"/>
              <w:numPr>
                <w:ilvl w:val="0"/>
                <w:numId w:val="5"/>
              </w:numPr>
              <w:rPr>
                <w:sz w:val="20"/>
                <w:szCs w:val="20"/>
              </w:rPr>
            </w:pPr>
            <w:r w:rsidRPr="00BC45B5">
              <w:rPr>
                <w:sz w:val="20"/>
                <w:szCs w:val="20"/>
              </w:rPr>
              <w:t xml:space="preserve">As described above, HCA staff developed </w:t>
            </w:r>
            <w:r w:rsidR="00CB7F58" w:rsidRPr="00BC45B5">
              <w:rPr>
                <w:sz w:val="20"/>
                <w:szCs w:val="20"/>
              </w:rPr>
              <w:t xml:space="preserve">two </w:t>
            </w:r>
            <w:r w:rsidR="00DA674D" w:rsidRPr="00BC45B5">
              <w:rPr>
                <w:sz w:val="20"/>
                <w:szCs w:val="20"/>
              </w:rPr>
              <w:t>DPs</w:t>
            </w:r>
            <w:r w:rsidR="00CB7F58" w:rsidRPr="00BC45B5">
              <w:rPr>
                <w:sz w:val="20"/>
                <w:szCs w:val="20"/>
              </w:rPr>
              <w:t xml:space="preserve"> requesting state funds to support </w:t>
            </w:r>
            <w:r w:rsidR="00B84A2C" w:rsidRPr="00BC45B5">
              <w:rPr>
                <w:sz w:val="20"/>
                <w:szCs w:val="20"/>
              </w:rPr>
              <w:t xml:space="preserve">health information exchange at the point of care using </w:t>
            </w:r>
            <w:r w:rsidR="00CB7F58" w:rsidRPr="00BC45B5">
              <w:rPr>
                <w:sz w:val="20"/>
                <w:szCs w:val="20"/>
              </w:rPr>
              <w:t xml:space="preserve">statewide HIE </w:t>
            </w:r>
            <w:r w:rsidR="00B84A2C" w:rsidRPr="00BC45B5">
              <w:rPr>
                <w:sz w:val="20"/>
                <w:szCs w:val="20"/>
              </w:rPr>
              <w:t xml:space="preserve">solutions. </w:t>
            </w:r>
            <w:r w:rsidR="00F574F7" w:rsidRPr="00BC45B5">
              <w:rPr>
                <w:sz w:val="20"/>
                <w:szCs w:val="20"/>
              </w:rPr>
              <w:t xml:space="preserve"> </w:t>
            </w:r>
          </w:p>
          <w:p w14:paraId="7A27073C" w14:textId="68B439AB" w:rsidR="0076417E" w:rsidRPr="000A24C3" w:rsidRDefault="00B84A2C" w:rsidP="00AF1D5A">
            <w:pPr>
              <w:pStyle w:val="ListParagraph"/>
              <w:numPr>
                <w:ilvl w:val="0"/>
                <w:numId w:val="5"/>
              </w:numPr>
            </w:pPr>
            <w:r w:rsidRPr="000A24C3">
              <w:rPr>
                <w:rFonts w:cstheme="minorHAnsi"/>
                <w:sz w:val="20"/>
                <w:szCs w:val="20"/>
              </w:rPr>
              <w:t xml:space="preserve">In Q3 and Q4, </w:t>
            </w:r>
            <w:r w:rsidR="0076417E" w:rsidRPr="000A24C3">
              <w:rPr>
                <w:rFonts w:ascii="Calibri" w:hAnsi="Calibri" w:cs="Calibri"/>
                <w:sz w:val="20"/>
                <w:szCs w:val="20"/>
              </w:rPr>
              <w:t>the CY ’1</w:t>
            </w:r>
            <w:r w:rsidR="00BC45B5">
              <w:rPr>
                <w:rFonts w:ascii="Calibri" w:hAnsi="Calibri" w:cs="Calibri"/>
                <w:sz w:val="20"/>
                <w:szCs w:val="20"/>
              </w:rPr>
              <w:t>9</w:t>
            </w:r>
            <w:r w:rsidR="0076417E" w:rsidRPr="000A24C3">
              <w:rPr>
                <w:rFonts w:ascii="Calibri" w:hAnsi="Calibri" w:cs="Calibri"/>
                <w:sz w:val="20"/>
                <w:szCs w:val="20"/>
              </w:rPr>
              <w:t xml:space="preserve"> </w:t>
            </w:r>
            <w:r w:rsidR="00997063" w:rsidRPr="000A24C3">
              <w:rPr>
                <w:rFonts w:ascii="Calibri" w:hAnsi="Calibri" w:cs="Calibri"/>
                <w:sz w:val="20"/>
                <w:szCs w:val="20"/>
              </w:rPr>
              <w:t xml:space="preserve">HIT Operational Plan will be drafted to include </w:t>
            </w:r>
            <w:r w:rsidR="0076417E" w:rsidRPr="000A24C3">
              <w:rPr>
                <w:rFonts w:ascii="Calibri" w:hAnsi="Calibri" w:cs="Calibri"/>
                <w:sz w:val="20"/>
                <w:szCs w:val="20"/>
              </w:rPr>
              <w:t xml:space="preserve">key infrastructure activities that will be undertaken to support </w:t>
            </w:r>
            <w:r w:rsidR="00DA674D" w:rsidRPr="000A24C3">
              <w:rPr>
                <w:rFonts w:ascii="Calibri" w:hAnsi="Calibri" w:cs="Calibri"/>
                <w:sz w:val="20"/>
                <w:szCs w:val="20"/>
              </w:rPr>
              <w:t xml:space="preserve">and expand </w:t>
            </w:r>
            <w:r w:rsidRPr="000A24C3">
              <w:rPr>
                <w:rFonts w:ascii="Calibri" w:hAnsi="Calibri" w:cs="Calibri"/>
                <w:sz w:val="20"/>
                <w:szCs w:val="20"/>
              </w:rPr>
              <w:t xml:space="preserve">statewide </w:t>
            </w:r>
            <w:r w:rsidR="0076417E" w:rsidRPr="000A24C3">
              <w:rPr>
                <w:rFonts w:ascii="Calibri" w:hAnsi="Calibri" w:cs="Calibri"/>
                <w:sz w:val="20"/>
                <w:szCs w:val="20"/>
              </w:rPr>
              <w:t>HIE</w:t>
            </w:r>
            <w:r w:rsidR="0012102D">
              <w:rPr>
                <w:rFonts w:ascii="Calibri" w:hAnsi="Calibri" w:cs="Calibri"/>
                <w:sz w:val="20"/>
                <w:szCs w:val="20"/>
              </w:rPr>
              <w:t>;</w:t>
            </w:r>
            <w:r w:rsidR="00BC45B5">
              <w:rPr>
                <w:rFonts w:ascii="Calibri" w:hAnsi="Calibri" w:cs="Calibri"/>
                <w:sz w:val="20"/>
                <w:szCs w:val="20"/>
              </w:rPr>
              <w:t xml:space="preserve"> </w:t>
            </w:r>
            <w:r w:rsidR="00F14D97">
              <w:rPr>
                <w:rFonts w:ascii="Calibri" w:hAnsi="Calibri" w:cs="Calibri"/>
                <w:sz w:val="20"/>
                <w:szCs w:val="20"/>
              </w:rPr>
              <w:t xml:space="preserve">and </w:t>
            </w:r>
            <w:r w:rsidR="008B29A4" w:rsidRPr="000A24C3">
              <w:rPr>
                <w:rFonts w:ascii="Calibri" w:hAnsi="Calibri" w:cs="Calibri"/>
                <w:sz w:val="20"/>
                <w:szCs w:val="20"/>
              </w:rPr>
              <w:t xml:space="preserve">will include tasks to support the SUD HIT Plan (in the recently approved IMD Waiver), and other activities needed to support the  MTP.  </w:t>
            </w:r>
          </w:p>
        </w:tc>
      </w:tr>
    </w:tbl>
    <w:p w14:paraId="074B6F5F" w14:textId="77777777" w:rsidR="0076417E" w:rsidRDefault="0076417E" w:rsidP="0076417E">
      <w:pPr>
        <w:shd w:val="clear" w:color="auto" w:fill="F4F4F4"/>
        <w:rPr>
          <w:rFonts w:ascii="Segoe UI" w:hAnsi="Segoe UI" w:cs="Segoe UI"/>
          <w:color w:val="000000"/>
          <w:sz w:val="27"/>
          <w:szCs w:val="27"/>
        </w:rPr>
      </w:pPr>
      <w:r>
        <w:rPr>
          <w:rFonts w:ascii="Segoe UI" w:hAnsi="Segoe UI" w:cs="Segoe UI"/>
          <w:color w:val="000000"/>
          <w:sz w:val="27"/>
          <w:szCs w:val="27"/>
        </w:rPr>
        <w:br/>
      </w:r>
    </w:p>
    <w:p w14:paraId="73FC3BDE" w14:textId="77777777" w:rsidR="00A910E7" w:rsidRDefault="00A910E7" w:rsidP="00E13A47">
      <w:pPr>
        <w:pStyle w:val="Heading1"/>
      </w:pPr>
      <w:r>
        <w:t>Changes in Health IT Operational Plan</w:t>
      </w:r>
    </w:p>
    <w:p w14:paraId="2E91A1DF" w14:textId="77777777" w:rsidR="009A78D0" w:rsidRPr="009A78D0" w:rsidRDefault="008C25CA" w:rsidP="009A78D0">
      <w:r>
        <w:t>There were no changes to deliverables during the 2</w:t>
      </w:r>
      <w:r w:rsidRPr="008C25CA">
        <w:rPr>
          <w:vertAlign w:val="superscript"/>
        </w:rPr>
        <w:t>nd</w:t>
      </w:r>
      <w:r>
        <w:t xml:space="preserve"> quarter of 2018</w:t>
      </w:r>
    </w:p>
    <w:p w14:paraId="23FBA2FB" w14:textId="77777777" w:rsidR="009A78D0" w:rsidRDefault="009A78D0" w:rsidP="009A78D0"/>
    <w:p w14:paraId="07A84F27" w14:textId="77777777" w:rsidR="00E13A47" w:rsidRPr="009A78D0" w:rsidRDefault="00E13A47" w:rsidP="00BE1FEF">
      <w:pPr>
        <w:pStyle w:val="Heading1"/>
      </w:pPr>
      <w:r>
        <w:t>Clinical Data Repository Monthly Report</w:t>
      </w:r>
    </w:p>
    <w:p w14:paraId="5EF14815" w14:textId="77777777" w:rsidR="00E13A47" w:rsidRDefault="00E13A47" w:rsidP="009A78D0"/>
    <w:p w14:paraId="3941ABA6" w14:textId="327D3E48" w:rsidR="00200F6B" w:rsidRDefault="003077CA" w:rsidP="009A78D0">
      <w:r>
        <w:t xml:space="preserve">Per CMS request, attached to this quarterly report is the most recent monthly </w:t>
      </w:r>
      <w:r w:rsidR="00E13A47">
        <w:t>CDR status report</w:t>
      </w:r>
      <w:r>
        <w:t>.</w:t>
      </w:r>
    </w:p>
    <w:p w14:paraId="0E18C788" w14:textId="77777777" w:rsidR="00C24C25" w:rsidRDefault="00DE1FE6" w:rsidP="00DE1FE6">
      <w:r>
        <w:t xml:space="preserve">  </w:t>
      </w:r>
    </w:p>
    <w:p w14:paraId="13A0A426" w14:textId="77777777" w:rsidR="00FD3CD9" w:rsidRDefault="00FD3CD9" w:rsidP="00FD3CD9">
      <w:pPr>
        <w:pStyle w:val="Heading1"/>
      </w:pPr>
      <w:r>
        <w:lastRenderedPageBreak/>
        <w:t>Next Steps</w:t>
      </w:r>
    </w:p>
    <w:p w14:paraId="02BB0C78" w14:textId="7C2E2D1A" w:rsidR="00FD3CD9" w:rsidRPr="00FD3CD9" w:rsidRDefault="00FD3CD9" w:rsidP="00FD3CD9">
      <w:pPr>
        <w:sectPr w:rsidR="00FD3CD9" w:rsidRPr="00FD3CD9" w:rsidSect="00830E5C">
          <w:headerReference w:type="default" r:id="rId11"/>
          <w:footerReference w:type="default" r:id="rId12"/>
          <w:headerReference w:type="first" r:id="rId13"/>
          <w:pgSz w:w="12240" w:h="15840"/>
          <w:pgMar w:top="1440" w:right="1440" w:bottom="720" w:left="1440" w:header="720" w:footer="720" w:gutter="0"/>
          <w:cols w:space="720"/>
          <w:titlePg/>
          <w:docGrid w:linePitch="360"/>
        </w:sectPr>
      </w:pPr>
      <w:r>
        <w:t xml:space="preserve">The State has </w:t>
      </w:r>
      <w:r w:rsidR="00D77453">
        <w:t>initiated planning for the 2019 Health IT Operational Plan.  This includes submitting decision packages for Health IT related items for consideration by agency leadership and governor’s staff for inclusion in the 2020 Governors Budget.  This planning will be ongoing with an anticipated completion date of December 1, 2018 pe</w:t>
      </w:r>
      <w:bookmarkStart w:id="0" w:name="_GoBack"/>
      <w:bookmarkEnd w:id="0"/>
      <w:r w:rsidR="00D77453">
        <w:t>nding funding decis</w:t>
      </w:r>
      <w:r w:rsidR="00AF1D5A">
        <w:t>i</w:t>
      </w:r>
      <w:r w:rsidR="00D77453">
        <w:t>ons.</w:t>
      </w:r>
    </w:p>
    <w:p w14:paraId="15C6D6E7" w14:textId="5CD9F890" w:rsidR="00C24C25" w:rsidRDefault="00C24C25" w:rsidP="00DE1FE6"/>
    <w:p w14:paraId="31218328" w14:textId="229FB65A" w:rsidR="004B33B3" w:rsidRPr="004B33B3" w:rsidRDefault="004B33B3" w:rsidP="00DE1FE6">
      <w:pPr>
        <w:rPr>
          <w:rFonts w:ascii="Calibri" w:eastAsia="Times New Roman" w:hAnsi="Calibri" w:cs="Times New Roman"/>
          <w:sz w:val="20"/>
          <w:szCs w:val="20"/>
          <w14:textOutline w14:w="9525" w14:cap="rnd" w14:cmpd="sng" w14:algn="ctr">
            <w14:solidFill>
              <w14:srgbClr w14:val="000000">
                <w14:alpha w14:val="31000"/>
              </w14:srgbClr>
            </w14:solidFill>
            <w14:prstDash w14:val="solid"/>
            <w14:bevel/>
          </w14:textOutline>
        </w:rPr>
      </w:pPr>
      <w:r w:rsidRPr="004B33B3">
        <w:rPr>
          <w:rFonts w:ascii="Calibri" w:eastAsia="Times New Roman" w:hAnsi="Calibri" w:cs="Times New Roman"/>
          <w:noProof/>
          <w:sz w:val="20"/>
          <w:szCs w:val="20"/>
        </w:rPr>
        <w:drawing>
          <wp:inline distT="0" distB="0" distL="0" distR="0" wp14:anchorId="7BAE9270" wp14:editId="2DFE5169">
            <wp:extent cx="2981159" cy="1642110"/>
            <wp:effectExtent l="0" t="0" r="10160" b="15240"/>
            <wp:docPr id="1" name="Chart 1" title="Cou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B33B3">
        <w:rPr>
          <w:rFonts w:ascii="Calibri" w:eastAsia="Times New Roman" w:hAnsi="Calibri" w:cs="Times New Roman"/>
          <w:noProof/>
          <w:sz w:val="20"/>
          <w:szCs w:val="20"/>
        </w:rPr>
        <w:drawing>
          <wp:inline distT="0" distB="0" distL="0" distR="0" wp14:anchorId="4D267F97" wp14:editId="58F9ABEE">
            <wp:extent cx="2838615" cy="1649095"/>
            <wp:effectExtent l="0" t="0" r="0" b="8255"/>
            <wp:docPr id="4" name="Chart 4" title="Cou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B33B3">
        <w:rPr>
          <w:rFonts w:ascii="Calibri" w:eastAsia="Times New Roman" w:hAnsi="Calibri" w:cs="Times New Roman"/>
          <w:noProof/>
          <w:sz w:val="20"/>
          <w:szCs w:val="20"/>
        </w:rPr>
        <w:drawing>
          <wp:inline distT="0" distB="0" distL="0" distR="0" wp14:anchorId="7D45AEC3" wp14:editId="754E5EDB">
            <wp:extent cx="2894275" cy="1645285"/>
            <wp:effectExtent l="0" t="0" r="1905"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4B33B3">
        <w:rPr>
          <w:rFonts w:ascii="Calibri" w:eastAsia="Times New Roman" w:hAnsi="Calibri" w:cs="Times New Roman"/>
          <w:noProof/>
          <w:sz w:val="20"/>
          <w:szCs w:val="20"/>
        </w:rPr>
        <w:drawing>
          <wp:inline distT="0" distB="0" distL="0" distR="0" wp14:anchorId="5A99E6AD" wp14:editId="5D336312">
            <wp:extent cx="2846070" cy="1642110"/>
            <wp:effectExtent l="0" t="0" r="11430"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2F0DF9" w14:textId="77777777" w:rsidR="004B33B3" w:rsidRPr="004B33B3" w:rsidRDefault="004B33B3" w:rsidP="004B33B3">
      <w:pPr>
        <w:rPr>
          <w:rFonts w:ascii="Calibri" w:eastAsia="Times New Roman" w:hAnsi="Calibri" w:cs="Times New Roman"/>
          <w:sz w:val="20"/>
          <w:szCs w:val="20"/>
          <w14:textOutline w14:w="9525" w14:cap="rnd" w14:cmpd="sng" w14:algn="ctr">
            <w14:solidFill>
              <w14:srgbClr w14:val="000000">
                <w14:alpha w14:val="31000"/>
              </w14:srgbClr>
            </w14:solidFill>
            <w14:prstDash w14:val="solid"/>
            <w14:bevel/>
          </w14:textOutline>
        </w:rPr>
      </w:pPr>
      <w:r w:rsidRPr="004B33B3">
        <w:rPr>
          <w:rFonts w:ascii="Calibri" w:eastAsia="Times New Roman" w:hAnsi="Calibri" w:cs="Times New Roman"/>
          <w:noProof/>
          <w:sz w:val="20"/>
          <w:szCs w:val="20"/>
          <w14:textOutline w14:w="9525" w14:cap="rnd" w14:cmpd="sng" w14:algn="ctr">
            <w14:solidFill>
              <w14:srgbClr w14:val="000000">
                <w14:alpha w14:val="31000"/>
              </w14:srgbClr>
            </w14:solidFill>
            <w14:prstDash w14:val="solid"/>
            <w14:bevel/>
          </w14:textOutline>
        </w:rPr>
        <mc:AlternateContent>
          <mc:Choice Requires="wps">
            <w:drawing>
              <wp:anchor distT="45720" distB="45720" distL="114300" distR="114300" simplePos="0" relativeHeight="251663360" behindDoc="0" locked="0" layoutInCell="1" allowOverlap="1" wp14:anchorId="176C9CC8" wp14:editId="3CC76612">
                <wp:simplePos x="0" y="0"/>
                <wp:positionH relativeFrom="column">
                  <wp:posOffset>3041650</wp:posOffset>
                </wp:positionH>
                <wp:positionV relativeFrom="paragraph">
                  <wp:posOffset>46990</wp:posOffset>
                </wp:positionV>
                <wp:extent cx="2660650" cy="14668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466850"/>
                        </a:xfrm>
                        <a:prstGeom prst="rect">
                          <a:avLst/>
                        </a:prstGeom>
                        <a:solidFill>
                          <a:srgbClr val="FFFFFF"/>
                        </a:solidFill>
                        <a:ln w="9525">
                          <a:solidFill>
                            <a:srgbClr val="000000"/>
                          </a:solidFill>
                          <a:miter lim="800000"/>
                          <a:headEnd/>
                          <a:tailEnd/>
                        </a:ln>
                      </wps:spPr>
                      <wps:txbx>
                        <w:txbxContent>
                          <w:p w14:paraId="2B0C9E90" w14:textId="77777777" w:rsidR="00803D52" w:rsidRPr="00B44226" w:rsidRDefault="00803D52" w:rsidP="004B33B3">
                            <w:pPr>
                              <w:rPr>
                                <w:sz w:val="18"/>
                                <w:szCs w:val="18"/>
                              </w:rPr>
                            </w:pPr>
                            <w:r w:rsidRPr="00B44226">
                              <w:rPr>
                                <w:sz w:val="18"/>
                                <w:szCs w:val="18"/>
                              </w:rPr>
                              <w:t>Number of providers submitting to PROD:</w:t>
                            </w:r>
                          </w:p>
                          <w:p w14:paraId="1E2BD0EF" w14:textId="77777777" w:rsidR="00803D52" w:rsidRPr="00B44226" w:rsidRDefault="00803D52" w:rsidP="004B33B3">
                            <w:pPr>
                              <w:pStyle w:val="ListParagraph"/>
                              <w:numPr>
                                <w:ilvl w:val="0"/>
                                <w:numId w:val="7"/>
                              </w:numPr>
                              <w:spacing w:line="264" w:lineRule="auto"/>
                              <w:rPr>
                                <w:sz w:val="18"/>
                                <w:szCs w:val="18"/>
                              </w:rPr>
                            </w:pPr>
                            <w:r w:rsidRPr="00B44226">
                              <w:rPr>
                                <w:sz w:val="18"/>
                                <w:szCs w:val="18"/>
                              </w:rPr>
                              <w:t xml:space="preserve">Total Org Parent </w:t>
                            </w:r>
                            <w:r>
                              <w:rPr>
                                <w:sz w:val="18"/>
                                <w:szCs w:val="18"/>
                              </w:rPr>
                              <w:t>: 52</w:t>
                            </w:r>
                          </w:p>
                          <w:p w14:paraId="11FB1367" w14:textId="77777777" w:rsidR="00803D52" w:rsidRPr="000634B1" w:rsidRDefault="00803D52" w:rsidP="004B33B3">
                            <w:pPr>
                              <w:pStyle w:val="ListParagraph"/>
                              <w:numPr>
                                <w:ilvl w:val="0"/>
                                <w:numId w:val="7"/>
                              </w:numPr>
                              <w:spacing w:line="264" w:lineRule="auto"/>
                              <w:rPr>
                                <w:sz w:val="18"/>
                                <w:szCs w:val="18"/>
                              </w:rPr>
                            </w:pPr>
                            <w:r>
                              <w:rPr>
                                <w:sz w:val="18"/>
                                <w:szCs w:val="18"/>
                              </w:rPr>
                              <w:t>Total Org Child: 22</w:t>
                            </w:r>
                          </w:p>
                          <w:p w14:paraId="68242132" w14:textId="77777777" w:rsidR="00803D52" w:rsidRPr="00B44226" w:rsidRDefault="00803D52" w:rsidP="004B33B3">
                            <w:pPr>
                              <w:rPr>
                                <w:sz w:val="18"/>
                                <w:szCs w:val="18"/>
                              </w:rPr>
                            </w:pPr>
                            <w:r w:rsidRPr="00B44226">
                              <w:rPr>
                                <w:sz w:val="18"/>
                                <w:szCs w:val="18"/>
                              </w:rPr>
                              <w:t>Please note that the above counts include stand alone parent and child orgs as well as linked parent &amp; child orgs. Some providers are reported at the overall parent organization level and some at the child level (by specific facility/location).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6C9CC8" id="_x0000_t202" coordsize="21600,21600" o:spt="202" path="m,l,21600r21600,l21600,xe">
                <v:stroke joinstyle="miter"/>
                <v:path gradientshapeok="t" o:connecttype="rect"/>
              </v:shapetype>
              <v:shape id="Text Box 2" o:spid="_x0000_s1026" type="#_x0000_t202" style="position:absolute;margin-left:239.5pt;margin-top:3.7pt;width:209.5pt;height:11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">
                <v:textbox>
                  <w:txbxContent>
                    <w:p w14:paraId="2B0C9E90" w14:textId="77777777" w:rsidR="00803D52" w:rsidRPr="00B44226" w:rsidRDefault="00803D52" w:rsidP="004B33B3">
                      <w:pPr>
                        <w:rPr>
                          <w:sz w:val="18"/>
                          <w:szCs w:val="18"/>
                        </w:rPr>
                      </w:pPr>
                      <w:r w:rsidRPr="00B44226">
                        <w:rPr>
                          <w:sz w:val="18"/>
                          <w:szCs w:val="18"/>
                        </w:rPr>
                        <w:t>Number of providers submitting to PROD:</w:t>
                      </w:r>
                    </w:p>
                    <w:p w14:paraId="1E2BD0EF" w14:textId="77777777" w:rsidR="00803D52" w:rsidRPr="00B44226" w:rsidRDefault="00803D52" w:rsidP="004B33B3">
                      <w:pPr>
                        <w:pStyle w:val="ListParagraph"/>
                        <w:numPr>
                          <w:ilvl w:val="0"/>
                          <w:numId w:val="7"/>
                        </w:numPr>
                        <w:spacing w:line="264" w:lineRule="auto"/>
                        <w:rPr>
                          <w:sz w:val="18"/>
                          <w:szCs w:val="18"/>
                        </w:rPr>
                      </w:pPr>
                      <w:r w:rsidRPr="00B44226">
                        <w:rPr>
                          <w:sz w:val="18"/>
                          <w:szCs w:val="18"/>
                        </w:rPr>
                        <w:t xml:space="preserve">Total Org Parent </w:t>
                      </w:r>
                      <w:r>
                        <w:rPr>
                          <w:sz w:val="18"/>
                          <w:szCs w:val="18"/>
                        </w:rPr>
                        <w:t>: 52</w:t>
                      </w:r>
                    </w:p>
                    <w:p w14:paraId="11FB1367" w14:textId="77777777" w:rsidR="00803D52" w:rsidRPr="000634B1" w:rsidRDefault="00803D52" w:rsidP="004B33B3">
                      <w:pPr>
                        <w:pStyle w:val="ListParagraph"/>
                        <w:numPr>
                          <w:ilvl w:val="0"/>
                          <w:numId w:val="7"/>
                        </w:numPr>
                        <w:spacing w:line="264" w:lineRule="auto"/>
                        <w:rPr>
                          <w:sz w:val="18"/>
                          <w:szCs w:val="18"/>
                        </w:rPr>
                      </w:pPr>
                      <w:r>
                        <w:rPr>
                          <w:sz w:val="18"/>
                          <w:szCs w:val="18"/>
                        </w:rPr>
                        <w:t>Total Org Child: 22</w:t>
                      </w:r>
                    </w:p>
                    <w:p w14:paraId="68242132" w14:textId="77777777" w:rsidR="00803D52" w:rsidRPr="00B44226" w:rsidRDefault="00803D52" w:rsidP="004B33B3">
                      <w:pPr>
                        <w:rPr>
                          <w:sz w:val="18"/>
                          <w:szCs w:val="18"/>
                        </w:rPr>
                      </w:pPr>
                      <w:r w:rsidRPr="00B44226">
                        <w:rPr>
                          <w:sz w:val="18"/>
                          <w:szCs w:val="18"/>
                        </w:rPr>
                        <w:t xml:space="preserve">Please note that the above counts include </w:t>
                      </w:r>
                      <w:proofErr w:type="spellStart"/>
                      <w:r w:rsidRPr="00B44226">
                        <w:rPr>
                          <w:sz w:val="18"/>
                          <w:szCs w:val="18"/>
                        </w:rPr>
                        <w:t>stand alone</w:t>
                      </w:r>
                      <w:proofErr w:type="spellEnd"/>
                      <w:r w:rsidRPr="00B44226">
                        <w:rPr>
                          <w:sz w:val="18"/>
                          <w:szCs w:val="18"/>
                        </w:rPr>
                        <w:t xml:space="preserve"> parent and child orgs as well as linked parent &amp; child orgs. Some providers are reported at the overall parent organization level and some at the child level (by specific facility/location).</w:t>
                      </w:r>
                    </w:p>
                  </w:txbxContent>
                </v:textbox>
                <w10:wrap type="square"/>
              </v:shape>
            </w:pict>
          </mc:Fallback>
        </mc:AlternateContent>
      </w:r>
      <w:r w:rsidRPr="004B33B3">
        <w:rPr>
          <w:rFonts w:ascii="Calibri" w:eastAsia="Times New Roman" w:hAnsi="Calibri" w:cs="Times New Roman"/>
          <w:noProof/>
          <w:sz w:val="20"/>
          <w:szCs w:val="20"/>
        </w:rPr>
        <w:drawing>
          <wp:inline distT="0" distB="0" distL="0" distR="0" wp14:anchorId="48A389F8" wp14:editId="44F0C93C">
            <wp:extent cx="2893695" cy="1555750"/>
            <wp:effectExtent l="0" t="0" r="1905" b="63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37C9D3" w14:textId="77777777" w:rsidR="004B33B3" w:rsidRPr="004B33B3" w:rsidRDefault="004B33B3" w:rsidP="004B33B3">
      <w:pPr>
        <w:rPr>
          <w:rFonts w:ascii="Calibri" w:eastAsia="Times New Roman" w:hAnsi="Calibri" w:cs="Times New Roman"/>
          <w:sz w:val="20"/>
          <w:szCs w:val="20"/>
          <w14:textOutline w14:w="9525" w14:cap="rnd" w14:cmpd="sng" w14:algn="ctr">
            <w14:solidFill>
              <w14:srgbClr w14:val="000000">
                <w14:alpha w14:val="31000"/>
              </w14:srgbClr>
            </w14:solidFill>
            <w14:prstDash w14:val="solid"/>
            <w14:bevel/>
          </w14:textOutline>
        </w:rPr>
      </w:pPr>
    </w:p>
    <w:p w14:paraId="47465840" w14:textId="77777777" w:rsidR="004B33B3" w:rsidRPr="004B33B3" w:rsidRDefault="004B33B3" w:rsidP="004B33B3">
      <w:pPr>
        <w:spacing w:after="60"/>
        <w:rPr>
          <w:rFonts w:ascii="Calibri" w:eastAsia="Times New Roman" w:hAnsi="Calibri" w:cs="Times New Roman"/>
          <w:sz w:val="20"/>
          <w:szCs w:val="20"/>
          <w:u w:val="single"/>
        </w:rPr>
      </w:pPr>
      <w:r w:rsidRPr="004B33B3">
        <w:rPr>
          <w:rFonts w:ascii="Calibri" w:eastAsia="Times New Roman" w:hAnsi="Calibri" w:cs="Times New Roman"/>
          <w:sz w:val="20"/>
          <w:szCs w:val="20"/>
          <w:u w:val="single"/>
        </w:rPr>
        <w:t>Top 20 Organizations by total successful CCD submissions in July</w:t>
      </w:r>
    </w:p>
    <w:p w14:paraId="70B47CB8" w14:textId="77777777" w:rsidR="004B33B3" w:rsidRPr="004B33B3" w:rsidRDefault="004B33B3" w:rsidP="004B33B3">
      <w:pPr>
        <w:rPr>
          <w:rFonts w:ascii="Calibri" w:eastAsia="Times New Roman" w:hAnsi="Calibri" w:cs="Times New Roman"/>
          <w:sz w:val="20"/>
          <w:szCs w:val="20"/>
        </w:rPr>
        <w:sectPr w:rsidR="004B33B3" w:rsidRPr="004B33B3" w:rsidSect="00830E5C">
          <w:pgSz w:w="12240" w:h="15840"/>
          <w:pgMar w:top="1440" w:right="1440" w:bottom="720" w:left="1440" w:header="720" w:footer="720" w:gutter="0"/>
          <w:cols w:space="720"/>
          <w:titlePg/>
          <w:docGrid w:linePitch="360"/>
        </w:sectPr>
      </w:pPr>
    </w:p>
    <w:p w14:paraId="57218725"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1. University of Washington (110,583)</w:t>
      </w:r>
    </w:p>
    <w:p w14:paraId="3C4A6A49"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2. MultiCare Facilities (69,804)</w:t>
      </w:r>
    </w:p>
    <w:p w14:paraId="0DDC562D"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3. PHS Washington Montana (69,733)</w:t>
      </w:r>
    </w:p>
    <w:p w14:paraId="58E2C627"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4. Swedish Medical Center (45,101)</w:t>
      </w:r>
    </w:p>
    <w:p w14:paraId="0ED89CCA"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5. Health Point CHC (40,507)</w:t>
      </w:r>
    </w:p>
    <w:p w14:paraId="2703A3F6"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6. Franciscan Health System (30,272)</w:t>
      </w:r>
    </w:p>
    <w:p w14:paraId="51B5DF25"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 xml:space="preserve">7. </w:t>
      </w:r>
      <w:proofErr w:type="spellStart"/>
      <w:r w:rsidRPr="004B33B3">
        <w:rPr>
          <w:rFonts w:ascii="Calibri" w:eastAsia="Times New Roman" w:hAnsi="Calibri" w:cs="Times New Roman"/>
          <w:sz w:val="20"/>
          <w:szCs w:val="20"/>
        </w:rPr>
        <w:t>Neighborcare</w:t>
      </w:r>
      <w:proofErr w:type="spellEnd"/>
      <w:r w:rsidRPr="004B33B3">
        <w:rPr>
          <w:rFonts w:ascii="Calibri" w:eastAsia="Times New Roman" w:hAnsi="Calibri" w:cs="Times New Roman"/>
          <w:sz w:val="20"/>
          <w:szCs w:val="20"/>
        </w:rPr>
        <w:t xml:space="preserve"> Health (29,449)</w:t>
      </w:r>
    </w:p>
    <w:p w14:paraId="493E72EC"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8. Confluence Health (23,835)</w:t>
      </w:r>
    </w:p>
    <w:p w14:paraId="7BCB9176"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9. Kadlec Regional Medical Center (22,821)</w:t>
      </w:r>
    </w:p>
    <w:p w14:paraId="4B9851E1"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10. Yakima Neighborhood Health Services (17,346)</w:t>
      </w:r>
    </w:p>
    <w:p w14:paraId="2D8A01E0"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11. Community Health Care (14,177)</w:t>
      </w:r>
    </w:p>
    <w:p w14:paraId="2276BFC0"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12. Valley Medical Center Renton (7,504)</w:t>
      </w:r>
    </w:p>
    <w:p w14:paraId="40A6E644"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13. Country Doctor (6,194)</w:t>
      </w:r>
    </w:p>
    <w:p w14:paraId="5DDC9D69"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14. The Everett Clinic (5,262)</w:t>
      </w:r>
    </w:p>
    <w:p w14:paraId="738FB5C2"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15. Tri-Cities Community Health (5,110)</w:t>
      </w:r>
    </w:p>
    <w:p w14:paraId="6B3CD3E7"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16. Family Health Centers (5,099)</w:t>
      </w:r>
    </w:p>
    <w:p w14:paraId="179A2BA6"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17. Pacific Medical Center (4,838)</w:t>
      </w:r>
    </w:p>
    <w:p w14:paraId="108933FC"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18. Valley View Health Center (4,687)</w:t>
      </w:r>
    </w:p>
    <w:p w14:paraId="7A9BF241"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19. Moses Lake Community Health Center (4,423)</w:t>
      </w:r>
    </w:p>
    <w:p w14:paraId="4BA9B228" w14:textId="77777777" w:rsidR="004B33B3" w:rsidRPr="004B33B3" w:rsidRDefault="004B33B3" w:rsidP="004B33B3">
      <w:pPr>
        <w:rPr>
          <w:rFonts w:ascii="Calibri" w:eastAsia="Times New Roman" w:hAnsi="Calibri" w:cs="Times New Roman"/>
          <w:sz w:val="20"/>
          <w:szCs w:val="20"/>
        </w:rPr>
        <w:sectPr w:rsidR="004B33B3" w:rsidRPr="004B33B3" w:rsidSect="00830E5C">
          <w:type w:val="continuous"/>
          <w:pgSz w:w="12240" w:h="15840"/>
          <w:pgMar w:top="1440" w:right="1440" w:bottom="720" w:left="1440" w:header="720" w:footer="720" w:gutter="0"/>
          <w:cols w:num="2" w:space="720"/>
          <w:docGrid w:linePitch="360"/>
        </w:sectPr>
      </w:pPr>
      <w:r w:rsidRPr="004B33B3">
        <w:rPr>
          <w:rFonts w:ascii="Calibri" w:eastAsia="Times New Roman" w:hAnsi="Calibri" w:cs="Times New Roman"/>
          <w:sz w:val="20"/>
          <w:szCs w:val="20"/>
        </w:rPr>
        <w:t>20.  Legacy Salmon Creek (3,993)</w:t>
      </w:r>
    </w:p>
    <w:p w14:paraId="48247CD3" w14:textId="77777777" w:rsidR="004B33B3" w:rsidRPr="004B33B3" w:rsidRDefault="004B33B3" w:rsidP="004B33B3">
      <w:pPr>
        <w:spacing w:before="120"/>
        <w:rPr>
          <w:rFonts w:ascii="Calibri" w:eastAsia="Times New Roman" w:hAnsi="Calibri" w:cs="Times New Roman"/>
          <w:sz w:val="20"/>
          <w:szCs w:val="20"/>
        </w:rPr>
      </w:pPr>
      <w:r w:rsidRPr="004B33B3">
        <w:rPr>
          <w:rFonts w:ascii="Calibri" w:eastAsia="Times New Roman" w:hAnsi="Calibri" w:cs="Times New Roman"/>
          <w:sz w:val="20"/>
          <w:szCs w:val="20"/>
        </w:rPr>
        <w:lastRenderedPageBreak/>
        <w:t>Number of Provider Organizations in UAT in last month: 19</w:t>
      </w:r>
    </w:p>
    <w:p w14:paraId="3AD591C1"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Current time-based extension requests: 64 (final count, no longer accepting extension requests)</w:t>
      </w:r>
    </w:p>
    <w:p w14:paraId="2E45708E" w14:textId="77777777" w:rsidR="004B33B3" w:rsidRPr="004B33B3" w:rsidRDefault="004B33B3" w:rsidP="004B33B3">
      <w:pPr>
        <w:rPr>
          <w:rFonts w:ascii="Calibri" w:eastAsia="Times New Roman" w:hAnsi="Calibri" w:cs="Times New Roman"/>
          <w:sz w:val="20"/>
          <w:szCs w:val="20"/>
        </w:rPr>
      </w:pPr>
      <w:r w:rsidRPr="004B33B3">
        <w:rPr>
          <w:rFonts w:ascii="Calibri" w:eastAsia="Times New Roman" w:hAnsi="Calibri" w:cs="Times New Roman"/>
          <w:sz w:val="20"/>
          <w:szCs w:val="20"/>
        </w:rPr>
        <w:t xml:space="preserve">CDR Tickets at HCA: </w:t>
      </w:r>
      <w:proofErr w:type="gramStart"/>
      <w:r w:rsidRPr="004B33B3">
        <w:rPr>
          <w:rFonts w:ascii="Calibri" w:eastAsia="Times New Roman" w:hAnsi="Calibri" w:cs="Times New Roman"/>
          <w:sz w:val="20"/>
          <w:szCs w:val="20"/>
        </w:rPr>
        <w:t xml:space="preserve">10  </w:t>
      </w:r>
      <w:r>
        <w:rPr>
          <w:rFonts w:ascii="Calibri" w:eastAsia="Times New Roman" w:hAnsi="Calibri" w:cs="Times New Roman"/>
          <w:sz w:val="20"/>
          <w:szCs w:val="20"/>
        </w:rPr>
        <w:t>an</w:t>
      </w:r>
      <w:r w:rsidRPr="004B33B3">
        <w:rPr>
          <w:rFonts w:ascii="Calibri" w:eastAsia="Times New Roman" w:hAnsi="Calibri" w:cs="Times New Roman"/>
          <w:sz w:val="20"/>
          <w:szCs w:val="20"/>
        </w:rPr>
        <w:t>d</w:t>
      </w:r>
      <w:proofErr w:type="gramEnd"/>
      <w:r w:rsidRPr="004B33B3">
        <w:rPr>
          <w:rFonts w:ascii="Calibri" w:eastAsia="Times New Roman" w:hAnsi="Calibri" w:cs="Times New Roman"/>
          <w:sz w:val="20"/>
          <w:szCs w:val="20"/>
        </w:rPr>
        <w:t xml:space="preserve"> CDR Tickets at OHP: 9</w:t>
      </w:r>
    </w:p>
    <w:p w14:paraId="38FBD074" w14:textId="77777777" w:rsidR="004B33B3" w:rsidRPr="004B33B3" w:rsidRDefault="004B33B3" w:rsidP="00830E5C">
      <w:pPr>
        <w:rPr>
          <w:rFonts w:ascii="Calibri" w:eastAsia="Times New Roman" w:hAnsi="Calibri" w:cs="Times New Roman"/>
          <w:sz w:val="20"/>
          <w:szCs w:val="20"/>
        </w:rPr>
      </w:pPr>
      <w:r w:rsidRPr="004B33B3">
        <w:rPr>
          <w:rFonts w:ascii="Calibri" w:eastAsia="Times New Roman" w:hAnsi="Calibri" w:cs="Times New Roman"/>
          <w:sz w:val="20"/>
          <w:szCs w:val="20"/>
        </w:rPr>
        <w:t>Please see enclosed maps for further detail:</w:t>
      </w:r>
    </w:p>
    <w:p w14:paraId="2F78B5F4" w14:textId="77777777" w:rsidR="004B33B3" w:rsidRPr="004B33B3" w:rsidRDefault="004B33B3" w:rsidP="00830E5C">
      <w:pPr>
        <w:numPr>
          <w:ilvl w:val="0"/>
          <w:numId w:val="8"/>
        </w:numPr>
        <w:rPr>
          <w:rFonts w:ascii="Calibri" w:eastAsia="Times New Roman" w:hAnsi="Calibri" w:cs="Times New Roman"/>
          <w:sz w:val="20"/>
          <w:szCs w:val="20"/>
        </w:rPr>
      </w:pPr>
      <w:r w:rsidRPr="004B33B3">
        <w:rPr>
          <w:rFonts w:ascii="Calibri" w:eastAsia="Times New Roman" w:hAnsi="Calibri" w:cs="Times New Roman"/>
          <w:sz w:val="20"/>
          <w:szCs w:val="20"/>
        </w:rPr>
        <w:t xml:space="preserve">Green set of maps: percentage of clients with at least one </w:t>
      </w:r>
      <w:r w:rsidRPr="004B33B3">
        <w:rPr>
          <w:rFonts w:ascii="Calibri" w:eastAsia="Times New Roman" w:hAnsi="Calibri" w:cs="Times New Roman"/>
          <w:sz w:val="20"/>
          <w:szCs w:val="20"/>
          <w:u w:val="single"/>
        </w:rPr>
        <w:t>CCD</w:t>
      </w:r>
      <w:r w:rsidRPr="004B33B3">
        <w:rPr>
          <w:rFonts w:ascii="Calibri" w:eastAsia="Times New Roman" w:hAnsi="Calibri" w:cs="Times New Roman"/>
          <w:sz w:val="20"/>
          <w:szCs w:val="20"/>
        </w:rPr>
        <w:t xml:space="preserve"> in their record (by county &amp; by ACH)</w:t>
      </w:r>
    </w:p>
    <w:p w14:paraId="44E913E1" w14:textId="77777777" w:rsidR="004B33B3" w:rsidRPr="004B33B3" w:rsidRDefault="004B33B3" w:rsidP="00830E5C">
      <w:pPr>
        <w:numPr>
          <w:ilvl w:val="0"/>
          <w:numId w:val="8"/>
        </w:numPr>
        <w:rPr>
          <w:rFonts w:ascii="Calibri" w:eastAsia="Times New Roman" w:hAnsi="Calibri" w:cs="Times New Roman"/>
          <w:sz w:val="20"/>
          <w:szCs w:val="20"/>
        </w:rPr>
      </w:pPr>
      <w:r w:rsidRPr="004B33B3">
        <w:rPr>
          <w:rFonts w:ascii="Calibri" w:eastAsia="Times New Roman" w:hAnsi="Calibri" w:cs="Times New Roman"/>
          <w:sz w:val="20"/>
          <w:szCs w:val="20"/>
        </w:rPr>
        <w:t xml:space="preserve">Brown set of maps: percentage of clients with at least one </w:t>
      </w:r>
      <w:r w:rsidRPr="004B33B3">
        <w:rPr>
          <w:rFonts w:ascii="Calibri" w:eastAsia="Times New Roman" w:hAnsi="Calibri" w:cs="Times New Roman"/>
          <w:sz w:val="20"/>
          <w:szCs w:val="20"/>
          <w:u w:val="single"/>
        </w:rPr>
        <w:t>claim</w:t>
      </w:r>
      <w:r w:rsidRPr="004B33B3">
        <w:rPr>
          <w:rFonts w:ascii="Calibri" w:eastAsia="Times New Roman" w:hAnsi="Calibri" w:cs="Times New Roman"/>
          <w:sz w:val="20"/>
          <w:szCs w:val="20"/>
        </w:rPr>
        <w:t xml:space="preserve"> in their record (by county &amp; by ACH)</w:t>
      </w:r>
    </w:p>
    <w:p w14:paraId="3CAC6818" w14:textId="77777777" w:rsidR="004B33B3" w:rsidRPr="004B33B3" w:rsidRDefault="004B33B3" w:rsidP="00830E5C">
      <w:pPr>
        <w:numPr>
          <w:ilvl w:val="0"/>
          <w:numId w:val="8"/>
        </w:numPr>
        <w:rPr>
          <w:rFonts w:ascii="Calibri" w:eastAsia="Times New Roman" w:hAnsi="Calibri" w:cs="Times New Roman"/>
          <w:sz w:val="20"/>
          <w:szCs w:val="20"/>
        </w:rPr>
      </w:pPr>
      <w:r w:rsidRPr="004B33B3">
        <w:rPr>
          <w:rFonts w:ascii="Calibri" w:eastAsia="Times New Roman" w:hAnsi="Calibri" w:cs="Times New Roman"/>
          <w:sz w:val="20"/>
          <w:szCs w:val="20"/>
        </w:rPr>
        <w:t>Blue set of maps: distribution of Medicaid clients across the state (by county &amp; by ACH)</w:t>
      </w:r>
    </w:p>
    <w:p w14:paraId="3D2233E4" w14:textId="77777777" w:rsidR="004B33B3" w:rsidRPr="004B33B3" w:rsidRDefault="004B33B3" w:rsidP="00830E5C">
      <w:pPr>
        <w:rPr>
          <w:rFonts w:ascii="Calibri" w:eastAsia="Times New Roman" w:hAnsi="Calibri" w:cs="Times New Roman"/>
          <w:sz w:val="20"/>
          <w:szCs w:val="20"/>
        </w:rPr>
      </w:pPr>
    </w:p>
    <w:p w14:paraId="642D7D21" w14:textId="77777777" w:rsidR="004B33B3" w:rsidRPr="004B33B3" w:rsidRDefault="004B33B3" w:rsidP="004B33B3">
      <w:pPr>
        <w:spacing w:after="120" w:line="264" w:lineRule="auto"/>
        <w:rPr>
          <w:rFonts w:ascii="Calibri" w:eastAsia="Times New Roman" w:hAnsi="Calibri" w:cs="Times New Roman"/>
          <w:sz w:val="20"/>
          <w:szCs w:val="20"/>
        </w:rPr>
      </w:pPr>
      <w:r w:rsidRPr="004B33B3">
        <w:rPr>
          <w:rFonts w:ascii="Calibri" w:eastAsia="Times New Roman" w:hAnsi="Calibri" w:cs="Times New Roman"/>
          <w:noProof/>
          <w:sz w:val="20"/>
          <w:szCs w:val="20"/>
        </w:rPr>
        <w:lastRenderedPageBreak/>
        <w:drawing>
          <wp:inline distT="0" distB="0" distL="0" distR="0" wp14:anchorId="6464C9FA" wp14:editId="09A56B18">
            <wp:extent cx="7926349" cy="535275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930836" cy="5355787"/>
                    </a:xfrm>
                    <a:prstGeom prst="rect">
                      <a:avLst/>
                    </a:prstGeom>
                  </pic:spPr>
                </pic:pic>
              </a:graphicData>
            </a:graphic>
          </wp:inline>
        </w:drawing>
      </w:r>
      <w:r w:rsidRPr="004B33B3">
        <w:rPr>
          <w:rFonts w:ascii="Calibri" w:eastAsia="Times New Roman" w:hAnsi="Calibri" w:cs="Times New Roman"/>
          <w:noProof/>
          <w:sz w:val="20"/>
          <w:szCs w:val="20"/>
        </w:rPr>
        <w:lastRenderedPageBreak/>
        <w:drawing>
          <wp:inline distT="0" distB="0" distL="0" distR="0" wp14:anchorId="2A0A2115" wp14:editId="61A3E04B">
            <wp:extent cx="7830217" cy="5352757"/>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840883" cy="5360048"/>
                    </a:xfrm>
                    <a:prstGeom prst="rect">
                      <a:avLst/>
                    </a:prstGeom>
                  </pic:spPr>
                </pic:pic>
              </a:graphicData>
            </a:graphic>
          </wp:inline>
        </w:drawing>
      </w:r>
    </w:p>
    <w:p w14:paraId="402649E2" w14:textId="77777777" w:rsidR="004B33B3" w:rsidRPr="004B33B3" w:rsidRDefault="004B33B3" w:rsidP="004B33B3">
      <w:pPr>
        <w:spacing w:after="120" w:line="264" w:lineRule="auto"/>
        <w:rPr>
          <w:rFonts w:ascii="Calibri" w:eastAsia="Times New Roman" w:hAnsi="Calibri" w:cs="Times New Roman"/>
          <w:sz w:val="20"/>
          <w:szCs w:val="20"/>
        </w:rPr>
      </w:pPr>
      <w:r w:rsidRPr="004B33B3">
        <w:rPr>
          <w:rFonts w:ascii="Calibri" w:eastAsia="Times New Roman" w:hAnsi="Calibri" w:cs="Times New Roman"/>
          <w:noProof/>
          <w:sz w:val="20"/>
          <w:szCs w:val="20"/>
        </w:rPr>
        <w:lastRenderedPageBreak/>
        <w:drawing>
          <wp:inline distT="0" distB="0" distL="0" distR="0" wp14:anchorId="66E089E4" wp14:editId="4F16D834">
            <wp:extent cx="8370537" cy="536682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78581" cy="5371981"/>
                    </a:xfrm>
                    <a:prstGeom prst="rect">
                      <a:avLst/>
                    </a:prstGeom>
                  </pic:spPr>
                </pic:pic>
              </a:graphicData>
            </a:graphic>
          </wp:inline>
        </w:drawing>
      </w:r>
    </w:p>
    <w:p w14:paraId="17ED365A" w14:textId="77777777" w:rsidR="004B33B3" w:rsidRPr="004B33B3" w:rsidRDefault="004B33B3" w:rsidP="004B33B3">
      <w:pPr>
        <w:spacing w:after="120" w:line="264" w:lineRule="auto"/>
        <w:rPr>
          <w:rFonts w:ascii="Calibri" w:eastAsia="Times New Roman" w:hAnsi="Calibri" w:cs="Times New Roman"/>
          <w:sz w:val="20"/>
          <w:szCs w:val="20"/>
        </w:rPr>
      </w:pPr>
      <w:r w:rsidRPr="004B33B3">
        <w:rPr>
          <w:rFonts w:ascii="Calibri" w:eastAsia="Times New Roman" w:hAnsi="Calibri" w:cs="Times New Roman"/>
          <w:noProof/>
          <w:sz w:val="20"/>
          <w:szCs w:val="20"/>
        </w:rPr>
        <w:lastRenderedPageBreak/>
        <w:drawing>
          <wp:inline distT="0" distB="0" distL="0" distR="0" wp14:anchorId="3A711DB4" wp14:editId="208D61ED">
            <wp:extent cx="8293663" cy="57818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97862" cy="5784748"/>
                    </a:xfrm>
                    <a:prstGeom prst="rect">
                      <a:avLst/>
                    </a:prstGeom>
                  </pic:spPr>
                </pic:pic>
              </a:graphicData>
            </a:graphic>
          </wp:inline>
        </w:drawing>
      </w:r>
    </w:p>
    <w:p w14:paraId="024AC69B" w14:textId="77777777" w:rsidR="004B33B3" w:rsidRPr="004B33B3" w:rsidRDefault="004B33B3" w:rsidP="004B33B3">
      <w:pPr>
        <w:spacing w:after="120" w:line="264" w:lineRule="auto"/>
        <w:rPr>
          <w:rFonts w:ascii="Calibri" w:eastAsia="Times New Roman" w:hAnsi="Calibri" w:cs="Times New Roman"/>
          <w:sz w:val="20"/>
          <w:szCs w:val="20"/>
        </w:rPr>
      </w:pPr>
      <w:r w:rsidRPr="004B33B3">
        <w:rPr>
          <w:rFonts w:ascii="Calibri" w:eastAsia="Times New Roman" w:hAnsi="Calibri" w:cs="Times New Roman"/>
          <w:noProof/>
          <w:sz w:val="20"/>
          <w:szCs w:val="20"/>
        </w:rPr>
        <w:lastRenderedPageBreak/>
        <w:drawing>
          <wp:inline distT="0" distB="0" distL="0" distR="0" wp14:anchorId="6AF28B46" wp14:editId="75D5F5E3">
            <wp:extent cx="8159016" cy="597876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65040" cy="5983184"/>
                    </a:xfrm>
                    <a:prstGeom prst="rect">
                      <a:avLst/>
                    </a:prstGeom>
                  </pic:spPr>
                </pic:pic>
              </a:graphicData>
            </a:graphic>
          </wp:inline>
        </w:drawing>
      </w:r>
    </w:p>
    <w:p w14:paraId="09B1ECB9" w14:textId="77777777" w:rsidR="004B33B3" w:rsidRPr="004B33B3" w:rsidRDefault="004B33B3" w:rsidP="004B33B3">
      <w:pPr>
        <w:spacing w:after="120" w:line="264" w:lineRule="auto"/>
        <w:rPr>
          <w:rFonts w:ascii="Calibri" w:eastAsia="Times New Roman" w:hAnsi="Calibri" w:cs="Times New Roman"/>
          <w:sz w:val="20"/>
          <w:szCs w:val="20"/>
        </w:rPr>
      </w:pPr>
      <w:r w:rsidRPr="004B33B3">
        <w:rPr>
          <w:rFonts w:ascii="Calibri" w:eastAsia="Times New Roman" w:hAnsi="Calibri" w:cs="Times New Roman"/>
          <w:noProof/>
          <w:sz w:val="20"/>
          <w:szCs w:val="20"/>
        </w:rPr>
        <w:lastRenderedPageBreak/>
        <w:drawing>
          <wp:inline distT="0" distB="0" distL="0" distR="0" wp14:anchorId="2C46F03D" wp14:editId="387B27DB">
            <wp:extent cx="8105630" cy="528945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11776" cy="5293462"/>
                    </a:xfrm>
                    <a:prstGeom prst="rect">
                      <a:avLst/>
                    </a:prstGeom>
                  </pic:spPr>
                </pic:pic>
              </a:graphicData>
            </a:graphic>
          </wp:inline>
        </w:drawing>
      </w:r>
    </w:p>
    <w:p w14:paraId="08899B4F" w14:textId="564692CE" w:rsidR="007A3BC9" w:rsidRDefault="004B33B3" w:rsidP="009A78D0">
      <w:pPr>
        <w:sectPr w:rsidR="007A3BC9" w:rsidSect="00200F6B">
          <w:headerReference w:type="default" r:id="rId25"/>
          <w:pgSz w:w="15840" w:h="12240" w:orient="landscape"/>
          <w:pgMar w:top="1440" w:right="1440" w:bottom="1440" w:left="1440" w:header="720" w:footer="720" w:gutter="0"/>
          <w:cols w:space="720"/>
          <w:docGrid w:linePitch="360"/>
        </w:sectPr>
      </w:pPr>
      <w:r>
        <w:br w:type="page"/>
      </w:r>
    </w:p>
    <w:tbl>
      <w:tblPr>
        <w:tblStyle w:val="TableGrid"/>
        <w:tblW w:w="14390" w:type="dxa"/>
        <w:tblLook w:val="04A0" w:firstRow="1" w:lastRow="0" w:firstColumn="1" w:lastColumn="0" w:noHBand="0" w:noVBand="1"/>
      </w:tblPr>
      <w:tblGrid>
        <w:gridCol w:w="918"/>
        <w:gridCol w:w="1043"/>
        <w:gridCol w:w="910"/>
        <w:gridCol w:w="1016"/>
        <w:gridCol w:w="6629"/>
        <w:gridCol w:w="781"/>
        <w:gridCol w:w="1798"/>
        <w:gridCol w:w="1295"/>
      </w:tblGrid>
      <w:tr w:rsidR="007A3BC9" w:rsidRPr="00E13A47" w14:paraId="795D668E" w14:textId="77777777" w:rsidTr="00216A10">
        <w:trPr>
          <w:trHeight w:val="300"/>
          <w:tblHeader/>
        </w:trPr>
        <w:tc>
          <w:tcPr>
            <w:tcW w:w="918" w:type="dxa"/>
            <w:shd w:val="clear" w:color="auto" w:fill="ACD762"/>
            <w:noWrap/>
            <w:vAlign w:val="bottom"/>
            <w:hideMark/>
          </w:tcPr>
          <w:p w14:paraId="2217ECE2" w14:textId="77777777" w:rsidR="007A3BC9" w:rsidRPr="007A3BC9" w:rsidRDefault="007A3BC9" w:rsidP="007A3BC9">
            <w:pPr>
              <w:rPr>
                <w:rFonts w:eastAsia="Times New Roman" w:cstheme="minorHAnsi"/>
                <w:b/>
                <w:sz w:val="20"/>
                <w:szCs w:val="20"/>
              </w:rPr>
            </w:pPr>
            <w:proofErr w:type="spellStart"/>
            <w:r w:rsidRPr="007A3BC9">
              <w:rPr>
                <w:rFonts w:ascii="Calibri" w:hAnsi="Calibri" w:cs="Calibri"/>
                <w:b/>
                <w:bCs/>
                <w:color w:val="336699"/>
                <w:sz w:val="20"/>
                <w:szCs w:val="20"/>
              </w:rPr>
              <w:lastRenderedPageBreak/>
              <w:t>Init.</w:t>
            </w:r>
            <w:proofErr w:type="spellEnd"/>
          </w:p>
        </w:tc>
        <w:tc>
          <w:tcPr>
            <w:tcW w:w="1043" w:type="dxa"/>
            <w:shd w:val="clear" w:color="auto" w:fill="ACD762"/>
            <w:noWrap/>
            <w:vAlign w:val="bottom"/>
            <w:hideMark/>
          </w:tcPr>
          <w:p w14:paraId="0AE76303" w14:textId="77777777" w:rsidR="007A3BC9" w:rsidRPr="007A3BC9" w:rsidRDefault="007A3BC9" w:rsidP="007A3BC9">
            <w:pPr>
              <w:rPr>
                <w:rFonts w:eastAsia="Times New Roman" w:cstheme="minorHAnsi"/>
                <w:b/>
                <w:sz w:val="20"/>
                <w:szCs w:val="20"/>
              </w:rPr>
            </w:pPr>
            <w:r w:rsidRPr="007A3BC9">
              <w:rPr>
                <w:rFonts w:ascii="Calibri" w:hAnsi="Calibri" w:cs="Calibri"/>
                <w:b/>
                <w:bCs/>
                <w:color w:val="336699"/>
                <w:sz w:val="20"/>
                <w:szCs w:val="20"/>
              </w:rPr>
              <w:t>% Complete</w:t>
            </w:r>
          </w:p>
        </w:tc>
        <w:tc>
          <w:tcPr>
            <w:tcW w:w="910" w:type="dxa"/>
            <w:shd w:val="clear" w:color="auto" w:fill="ACD762"/>
            <w:noWrap/>
            <w:vAlign w:val="bottom"/>
            <w:hideMark/>
          </w:tcPr>
          <w:p w14:paraId="69CE1373" w14:textId="77777777" w:rsidR="007A3BC9" w:rsidRPr="007A3BC9" w:rsidRDefault="007A3BC9" w:rsidP="007A3BC9">
            <w:pPr>
              <w:rPr>
                <w:rFonts w:eastAsia="Times New Roman" w:cstheme="minorHAnsi"/>
                <w:b/>
                <w:sz w:val="20"/>
                <w:szCs w:val="20"/>
              </w:rPr>
            </w:pPr>
            <w:r w:rsidRPr="007A3BC9">
              <w:rPr>
                <w:rFonts w:ascii="Calibri" w:hAnsi="Calibri" w:cs="Calibri"/>
                <w:b/>
                <w:bCs/>
                <w:color w:val="336699"/>
                <w:sz w:val="20"/>
                <w:szCs w:val="20"/>
              </w:rPr>
              <w:t>Start</w:t>
            </w:r>
          </w:p>
        </w:tc>
        <w:tc>
          <w:tcPr>
            <w:tcW w:w="1016" w:type="dxa"/>
            <w:shd w:val="clear" w:color="auto" w:fill="ACD762"/>
            <w:noWrap/>
            <w:vAlign w:val="bottom"/>
            <w:hideMark/>
          </w:tcPr>
          <w:p w14:paraId="21CD06CF" w14:textId="77777777" w:rsidR="007A3BC9" w:rsidRPr="007A3BC9" w:rsidRDefault="007A3BC9" w:rsidP="007A3BC9">
            <w:pPr>
              <w:rPr>
                <w:rFonts w:eastAsia="Times New Roman" w:cstheme="minorHAnsi"/>
                <w:b/>
                <w:sz w:val="20"/>
                <w:szCs w:val="20"/>
              </w:rPr>
            </w:pPr>
            <w:r w:rsidRPr="007A3BC9">
              <w:rPr>
                <w:rFonts w:ascii="Calibri" w:hAnsi="Calibri" w:cs="Calibri"/>
                <w:b/>
                <w:bCs/>
                <w:color w:val="336699"/>
                <w:sz w:val="20"/>
                <w:szCs w:val="20"/>
              </w:rPr>
              <w:t>End</w:t>
            </w:r>
          </w:p>
        </w:tc>
        <w:tc>
          <w:tcPr>
            <w:tcW w:w="6629" w:type="dxa"/>
            <w:shd w:val="clear" w:color="auto" w:fill="ACD762"/>
            <w:noWrap/>
            <w:vAlign w:val="bottom"/>
            <w:hideMark/>
          </w:tcPr>
          <w:p w14:paraId="518AF97B" w14:textId="77777777" w:rsidR="007A3BC9" w:rsidRPr="007A3BC9" w:rsidRDefault="007A3BC9" w:rsidP="007A3BC9">
            <w:pPr>
              <w:rPr>
                <w:rFonts w:eastAsia="Times New Roman" w:cstheme="minorHAnsi"/>
                <w:b/>
                <w:sz w:val="20"/>
                <w:szCs w:val="20"/>
              </w:rPr>
            </w:pPr>
            <w:r w:rsidRPr="007A3BC9">
              <w:rPr>
                <w:rFonts w:ascii="Calibri" w:hAnsi="Calibri" w:cs="Calibri"/>
                <w:b/>
                <w:bCs/>
                <w:color w:val="336699"/>
                <w:sz w:val="20"/>
                <w:szCs w:val="20"/>
              </w:rPr>
              <w:t>Deliverable Description</w:t>
            </w:r>
          </w:p>
        </w:tc>
        <w:tc>
          <w:tcPr>
            <w:tcW w:w="781" w:type="dxa"/>
            <w:shd w:val="clear" w:color="auto" w:fill="ACD762"/>
            <w:noWrap/>
            <w:vAlign w:val="bottom"/>
            <w:hideMark/>
          </w:tcPr>
          <w:p w14:paraId="5B91CC0F" w14:textId="77777777" w:rsidR="007A3BC9" w:rsidRPr="007A3BC9" w:rsidRDefault="007A3BC9" w:rsidP="007A3BC9">
            <w:pPr>
              <w:rPr>
                <w:rFonts w:eastAsia="Times New Roman" w:cstheme="minorHAnsi"/>
                <w:b/>
                <w:sz w:val="20"/>
                <w:szCs w:val="20"/>
              </w:rPr>
            </w:pPr>
            <w:proofErr w:type="spellStart"/>
            <w:r w:rsidRPr="007A3BC9">
              <w:rPr>
                <w:rFonts w:ascii="Calibri" w:hAnsi="Calibri" w:cs="Calibri"/>
                <w:b/>
                <w:bCs/>
                <w:color w:val="336699"/>
                <w:sz w:val="20"/>
                <w:szCs w:val="20"/>
              </w:rPr>
              <w:t>Qtr</w:t>
            </w:r>
            <w:proofErr w:type="spellEnd"/>
          </w:p>
        </w:tc>
        <w:tc>
          <w:tcPr>
            <w:tcW w:w="1798" w:type="dxa"/>
            <w:shd w:val="clear" w:color="auto" w:fill="ACD762"/>
            <w:noWrap/>
            <w:vAlign w:val="bottom"/>
            <w:hideMark/>
          </w:tcPr>
          <w:p w14:paraId="034E3644" w14:textId="77777777" w:rsidR="007A3BC9" w:rsidRPr="007A3BC9" w:rsidRDefault="007A3BC9" w:rsidP="007A3BC9">
            <w:pPr>
              <w:rPr>
                <w:rFonts w:eastAsia="Times New Roman" w:cstheme="minorHAnsi"/>
                <w:b/>
                <w:sz w:val="20"/>
                <w:szCs w:val="20"/>
              </w:rPr>
            </w:pPr>
            <w:r w:rsidRPr="007A3BC9">
              <w:rPr>
                <w:rFonts w:ascii="Calibri" w:hAnsi="Calibri" w:cs="Calibri"/>
                <w:b/>
                <w:bCs/>
                <w:color w:val="366092"/>
                <w:sz w:val="20"/>
                <w:szCs w:val="20"/>
              </w:rPr>
              <w:t>Status</w:t>
            </w:r>
          </w:p>
        </w:tc>
        <w:tc>
          <w:tcPr>
            <w:tcW w:w="1295" w:type="dxa"/>
            <w:shd w:val="clear" w:color="auto" w:fill="ACD762"/>
            <w:noWrap/>
            <w:vAlign w:val="bottom"/>
            <w:hideMark/>
          </w:tcPr>
          <w:p w14:paraId="6A8487DF" w14:textId="77777777" w:rsidR="007A3BC9" w:rsidRPr="007A3BC9" w:rsidRDefault="007A3BC9" w:rsidP="007A3BC9">
            <w:pPr>
              <w:rPr>
                <w:rFonts w:eastAsia="Times New Roman" w:cstheme="minorHAnsi"/>
                <w:sz w:val="20"/>
                <w:szCs w:val="20"/>
              </w:rPr>
            </w:pPr>
            <w:r w:rsidRPr="007A3BC9">
              <w:rPr>
                <w:rFonts w:ascii="Calibri" w:hAnsi="Calibri" w:cs="Calibri"/>
                <w:b/>
                <w:bCs/>
                <w:color w:val="366092"/>
                <w:sz w:val="20"/>
                <w:szCs w:val="20"/>
              </w:rPr>
              <w:t>Category</w:t>
            </w:r>
          </w:p>
        </w:tc>
      </w:tr>
      <w:tr w:rsidR="007A3BC9" w:rsidRPr="00E13A47" w14:paraId="5C845A1A" w14:textId="77777777" w:rsidTr="00216A10">
        <w:trPr>
          <w:trHeight w:val="300"/>
        </w:trPr>
        <w:tc>
          <w:tcPr>
            <w:tcW w:w="918" w:type="dxa"/>
            <w:noWrap/>
            <w:vAlign w:val="bottom"/>
            <w:hideMark/>
          </w:tcPr>
          <w:p w14:paraId="0F343FB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01-001</w:t>
            </w:r>
          </w:p>
        </w:tc>
        <w:tc>
          <w:tcPr>
            <w:tcW w:w="1043" w:type="dxa"/>
            <w:noWrap/>
            <w:vAlign w:val="bottom"/>
            <w:hideMark/>
          </w:tcPr>
          <w:p w14:paraId="627BFE3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55.00</w:t>
            </w:r>
          </w:p>
        </w:tc>
        <w:tc>
          <w:tcPr>
            <w:tcW w:w="910" w:type="dxa"/>
            <w:noWrap/>
            <w:vAlign w:val="bottom"/>
            <w:hideMark/>
          </w:tcPr>
          <w:p w14:paraId="49D404B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2/1/18</w:t>
            </w:r>
          </w:p>
        </w:tc>
        <w:tc>
          <w:tcPr>
            <w:tcW w:w="1016" w:type="dxa"/>
            <w:noWrap/>
            <w:vAlign w:val="bottom"/>
            <w:hideMark/>
          </w:tcPr>
          <w:p w14:paraId="65C64CB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037A70C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 Operational Plan monthly meetings</w:t>
            </w:r>
          </w:p>
        </w:tc>
        <w:tc>
          <w:tcPr>
            <w:tcW w:w="781" w:type="dxa"/>
            <w:noWrap/>
            <w:vAlign w:val="bottom"/>
            <w:hideMark/>
          </w:tcPr>
          <w:p w14:paraId="0B449F9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62AC1B6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7FA448A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Monthly Meetings</w:t>
            </w:r>
          </w:p>
        </w:tc>
      </w:tr>
      <w:tr w:rsidR="007A3BC9" w:rsidRPr="00E13A47" w14:paraId="4D0DF3DA" w14:textId="77777777" w:rsidTr="00216A10">
        <w:trPr>
          <w:trHeight w:val="300"/>
        </w:trPr>
        <w:tc>
          <w:tcPr>
            <w:tcW w:w="918" w:type="dxa"/>
            <w:noWrap/>
            <w:vAlign w:val="bottom"/>
            <w:hideMark/>
          </w:tcPr>
          <w:p w14:paraId="5C81881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02-002</w:t>
            </w:r>
          </w:p>
        </w:tc>
        <w:tc>
          <w:tcPr>
            <w:tcW w:w="1043" w:type="dxa"/>
            <w:noWrap/>
            <w:vAlign w:val="bottom"/>
            <w:hideMark/>
          </w:tcPr>
          <w:p w14:paraId="704DA7E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54.00</w:t>
            </w:r>
          </w:p>
        </w:tc>
        <w:tc>
          <w:tcPr>
            <w:tcW w:w="910" w:type="dxa"/>
            <w:noWrap/>
            <w:vAlign w:val="bottom"/>
            <w:hideMark/>
          </w:tcPr>
          <w:p w14:paraId="6E2E22F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7AFFB7B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3F38CA6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Create a list of data sources needed for project implementation</w:t>
            </w:r>
          </w:p>
        </w:tc>
        <w:tc>
          <w:tcPr>
            <w:tcW w:w="781" w:type="dxa"/>
            <w:noWrap/>
            <w:vAlign w:val="bottom"/>
            <w:hideMark/>
          </w:tcPr>
          <w:p w14:paraId="00BA2EF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01A9314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52D4E97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w:t>
            </w:r>
          </w:p>
        </w:tc>
      </w:tr>
      <w:tr w:rsidR="007A3BC9" w:rsidRPr="00E13A47" w14:paraId="2D08BC3F" w14:textId="77777777" w:rsidTr="00216A10">
        <w:trPr>
          <w:trHeight w:val="300"/>
        </w:trPr>
        <w:tc>
          <w:tcPr>
            <w:tcW w:w="918" w:type="dxa"/>
            <w:noWrap/>
            <w:vAlign w:val="bottom"/>
            <w:hideMark/>
          </w:tcPr>
          <w:p w14:paraId="2B50CD7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02-003</w:t>
            </w:r>
          </w:p>
        </w:tc>
        <w:tc>
          <w:tcPr>
            <w:tcW w:w="1043" w:type="dxa"/>
            <w:noWrap/>
            <w:vAlign w:val="bottom"/>
            <w:hideMark/>
          </w:tcPr>
          <w:p w14:paraId="55E6E47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15D840D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243D33A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5AF27D0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Ensure data inventory will include comprehensive data list</w:t>
            </w:r>
          </w:p>
        </w:tc>
        <w:tc>
          <w:tcPr>
            <w:tcW w:w="781" w:type="dxa"/>
            <w:noWrap/>
            <w:vAlign w:val="bottom"/>
            <w:hideMark/>
          </w:tcPr>
          <w:p w14:paraId="23B46C9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5BB5880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5E3186A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w:t>
            </w:r>
          </w:p>
        </w:tc>
      </w:tr>
      <w:tr w:rsidR="007A3BC9" w:rsidRPr="00E13A47" w14:paraId="3057E8D6" w14:textId="77777777" w:rsidTr="00216A10">
        <w:trPr>
          <w:trHeight w:val="300"/>
        </w:trPr>
        <w:tc>
          <w:tcPr>
            <w:tcW w:w="918" w:type="dxa"/>
            <w:noWrap/>
            <w:vAlign w:val="bottom"/>
            <w:hideMark/>
          </w:tcPr>
          <w:p w14:paraId="432A7A1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02-004</w:t>
            </w:r>
          </w:p>
        </w:tc>
        <w:tc>
          <w:tcPr>
            <w:tcW w:w="1043" w:type="dxa"/>
            <w:noWrap/>
            <w:vAlign w:val="bottom"/>
            <w:hideMark/>
          </w:tcPr>
          <w:p w14:paraId="4F9B20A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31.00</w:t>
            </w:r>
          </w:p>
        </w:tc>
        <w:tc>
          <w:tcPr>
            <w:tcW w:w="910" w:type="dxa"/>
            <w:noWrap/>
            <w:vAlign w:val="bottom"/>
            <w:hideMark/>
          </w:tcPr>
          <w:p w14:paraId="0D4034A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7331CFC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7/31/18</w:t>
            </w:r>
          </w:p>
        </w:tc>
        <w:tc>
          <w:tcPr>
            <w:tcW w:w="6629" w:type="dxa"/>
            <w:noWrap/>
            <w:vAlign w:val="bottom"/>
            <w:hideMark/>
          </w:tcPr>
          <w:p w14:paraId="58FCD39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Propose recommended policies, governance and infrastructure changes</w:t>
            </w:r>
          </w:p>
        </w:tc>
        <w:tc>
          <w:tcPr>
            <w:tcW w:w="781" w:type="dxa"/>
            <w:noWrap/>
            <w:vAlign w:val="bottom"/>
            <w:hideMark/>
          </w:tcPr>
          <w:p w14:paraId="764E410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Q2</w:t>
            </w:r>
          </w:p>
        </w:tc>
        <w:tc>
          <w:tcPr>
            <w:tcW w:w="1798" w:type="dxa"/>
            <w:noWrap/>
            <w:vAlign w:val="bottom"/>
            <w:hideMark/>
          </w:tcPr>
          <w:p w14:paraId="3321054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14D451E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w:t>
            </w:r>
          </w:p>
        </w:tc>
      </w:tr>
      <w:tr w:rsidR="007A3BC9" w:rsidRPr="00E13A47" w14:paraId="295E9D8E" w14:textId="77777777" w:rsidTr="00216A10">
        <w:trPr>
          <w:trHeight w:val="300"/>
        </w:trPr>
        <w:tc>
          <w:tcPr>
            <w:tcW w:w="918" w:type="dxa"/>
            <w:noWrap/>
            <w:vAlign w:val="bottom"/>
            <w:hideMark/>
          </w:tcPr>
          <w:p w14:paraId="378C174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02-005</w:t>
            </w:r>
          </w:p>
        </w:tc>
        <w:tc>
          <w:tcPr>
            <w:tcW w:w="1043" w:type="dxa"/>
            <w:noWrap/>
            <w:vAlign w:val="bottom"/>
            <w:hideMark/>
          </w:tcPr>
          <w:p w14:paraId="14651DB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0630B33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155738D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4E2D5CD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review P1 project artifacts related to whether HCBS providers are HIPAA covered entities</w:t>
            </w:r>
          </w:p>
        </w:tc>
        <w:tc>
          <w:tcPr>
            <w:tcW w:w="781" w:type="dxa"/>
            <w:noWrap/>
            <w:vAlign w:val="bottom"/>
            <w:hideMark/>
          </w:tcPr>
          <w:p w14:paraId="3D50575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4E32676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7EB60EB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w:t>
            </w:r>
          </w:p>
        </w:tc>
      </w:tr>
      <w:tr w:rsidR="007A3BC9" w:rsidRPr="00E13A47" w14:paraId="3850AF1A" w14:textId="77777777" w:rsidTr="00216A10">
        <w:trPr>
          <w:trHeight w:val="300"/>
        </w:trPr>
        <w:tc>
          <w:tcPr>
            <w:tcW w:w="918" w:type="dxa"/>
            <w:noWrap/>
            <w:vAlign w:val="bottom"/>
            <w:hideMark/>
          </w:tcPr>
          <w:p w14:paraId="2DCF10C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02-006</w:t>
            </w:r>
          </w:p>
        </w:tc>
        <w:tc>
          <w:tcPr>
            <w:tcW w:w="1043" w:type="dxa"/>
            <w:noWrap/>
            <w:vAlign w:val="bottom"/>
            <w:hideMark/>
          </w:tcPr>
          <w:p w14:paraId="7BC4557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33.00</w:t>
            </w:r>
          </w:p>
        </w:tc>
        <w:tc>
          <w:tcPr>
            <w:tcW w:w="910" w:type="dxa"/>
            <w:noWrap/>
            <w:vAlign w:val="bottom"/>
            <w:hideMark/>
          </w:tcPr>
          <w:p w14:paraId="3610DED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4042127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41CAF45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SAMSHA-HCA will identify and streamline BH reporting requirements</w:t>
            </w:r>
          </w:p>
        </w:tc>
        <w:tc>
          <w:tcPr>
            <w:tcW w:w="781" w:type="dxa"/>
            <w:noWrap/>
            <w:vAlign w:val="bottom"/>
            <w:hideMark/>
          </w:tcPr>
          <w:p w14:paraId="220D4FC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73BB584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75361F0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w:t>
            </w:r>
          </w:p>
        </w:tc>
      </w:tr>
      <w:tr w:rsidR="007A3BC9" w:rsidRPr="00E13A47" w14:paraId="002D1776" w14:textId="77777777" w:rsidTr="00216A10">
        <w:trPr>
          <w:trHeight w:val="300"/>
        </w:trPr>
        <w:tc>
          <w:tcPr>
            <w:tcW w:w="918" w:type="dxa"/>
            <w:noWrap/>
            <w:vAlign w:val="bottom"/>
            <w:hideMark/>
          </w:tcPr>
          <w:p w14:paraId="0A5A396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02-008</w:t>
            </w:r>
          </w:p>
        </w:tc>
        <w:tc>
          <w:tcPr>
            <w:tcW w:w="1043" w:type="dxa"/>
            <w:noWrap/>
            <w:vAlign w:val="bottom"/>
            <w:hideMark/>
          </w:tcPr>
          <w:p w14:paraId="4259372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36.00</w:t>
            </w:r>
          </w:p>
        </w:tc>
        <w:tc>
          <w:tcPr>
            <w:tcW w:w="910" w:type="dxa"/>
            <w:noWrap/>
            <w:vAlign w:val="bottom"/>
            <w:hideMark/>
          </w:tcPr>
          <w:p w14:paraId="73A4B97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116CDBB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18358CC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Develop patient/provider attribution approach</w:t>
            </w:r>
          </w:p>
        </w:tc>
        <w:tc>
          <w:tcPr>
            <w:tcW w:w="781" w:type="dxa"/>
            <w:noWrap/>
            <w:vAlign w:val="bottom"/>
            <w:hideMark/>
          </w:tcPr>
          <w:p w14:paraId="5966F9A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5E842E1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0FE931E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w:t>
            </w:r>
          </w:p>
        </w:tc>
      </w:tr>
      <w:tr w:rsidR="007A3BC9" w:rsidRPr="00E13A47" w14:paraId="597CE910" w14:textId="77777777" w:rsidTr="00216A10">
        <w:trPr>
          <w:trHeight w:val="300"/>
        </w:trPr>
        <w:tc>
          <w:tcPr>
            <w:tcW w:w="918" w:type="dxa"/>
            <w:noWrap/>
            <w:vAlign w:val="bottom"/>
            <w:hideMark/>
          </w:tcPr>
          <w:p w14:paraId="5CE9AC7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03-001</w:t>
            </w:r>
          </w:p>
        </w:tc>
        <w:tc>
          <w:tcPr>
            <w:tcW w:w="1043" w:type="dxa"/>
            <w:noWrap/>
            <w:vAlign w:val="bottom"/>
            <w:hideMark/>
          </w:tcPr>
          <w:p w14:paraId="0B8AE7B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33.00</w:t>
            </w:r>
          </w:p>
        </w:tc>
        <w:tc>
          <w:tcPr>
            <w:tcW w:w="910" w:type="dxa"/>
            <w:noWrap/>
            <w:vAlign w:val="bottom"/>
            <w:hideMark/>
          </w:tcPr>
          <w:p w14:paraId="6AE92BF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0E4817D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7EC86C9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define data aggregation and present options</w:t>
            </w:r>
          </w:p>
        </w:tc>
        <w:tc>
          <w:tcPr>
            <w:tcW w:w="781" w:type="dxa"/>
            <w:noWrap/>
            <w:vAlign w:val="bottom"/>
            <w:hideMark/>
          </w:tcPr>
          <w:p w14:paraId="69FB185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60E113F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35C81FE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496012F2" w14:textId="77777777" w:rsidTr="00216A10">
        <w:trPr>
          <w:trHeight w:val="300"/>
        </w:trPr>
        <w:tc>
          <w:tcPr>
            <w:tcW w:w="918" w:type="dxa"/>
            <w:noWrap/>
            <w:vAlign w:val="bottom"/>
            <w:hideMark/>
          </w:tcPr>
          <w:p w14:paraId="2805E63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03-002</w:t>
            </w:r>
          </w:p>
        </w:tc>
        <w:tc>
          <w:tcPr>
            <w:tcW w:w="1043" w:type="dxa"/>
            <w:noWrap/>
            <w:vAlign w:val="bottom"/>
            <w:hideMark/>
          </w:tcPr>
          <w:p w14:paraId="055E09A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03A40EB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47D4BF1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47B4D6C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support and monitor progress of APCD</w:t>
            </w:r>
          </w:p>
        </w:tc>
        <w:tc>
          <w:tcPr>
            <w:tcW w:w="781" w:type="dxa"/>
            <w:noWrap/>
            <w:vAlign w:val="bottom"/>
            <w:hideMark/>
          </w:tcPr>
          <w:p w14:paraId="7FA0C4A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55A4CFC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2EC4A7A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06B57A5F" w14:textId="77777777" w:rsidTr="00216A10">
        <w:trPr>
          <w:trHeight w:val="300"/>
        </w:trPr>
        <w:tc>
          <w:tcPr>
            <w:tcW w:w="918" w:type="dxa"/>
            <w:noWrap/>
            <w:vAlign w:val="bottom"/>
            <w:hideMark/>
          </w:tcPr>
          <w:p w14:paraId="05C3BBF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03-003</w:t>
            </w:r>
          </w:p>
        </w:tc>
        <w:tc>
          <w:tcPr>
            <w:tcW w:w="1043" w:type="dxa"/>
            <w:noWrap/>
            <w:vAlign w:val="bottom"/>
            <w:hideMark/>
          </w:tcPr>
          <w:p w14:paraId="410F85D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0B8F6EE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189DE11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7BD20FE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invest in data aggregation in support of payment model 4</w:t>
            </w:r>
          </w:p>
        </w:tc>
        <w:tc>
          <w:tcPr>
            <w:tcW w:w="781" w:type="dxa"/>
            <w:noWrap/>
            <w:vAlign w:val="bottom"/>
            <w:hideMark/>
          </w:tcPr>
          <w:p w14:paraId="44B88F6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7762E3C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27C9E07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7B53E967" w14:textId="77777777" w:rsidTr="00216A10">
        <w:trPr>
          <w:trHeight w:val="300"/>
        </w:trPr>
        <w:tc>
          <w:tcPr>
            <w:tcW w:w="918" w:type="dxa"/>
            <w:noWrap/>
            <w:vAlign w:val="bottom"/>
            <w:hideMark/>
          </w:tcPr>
          <w:p w14:paraId="7B243E0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03-004</w:t>
            </w:r>
          </w:p>
        </w:tc>
        <w:tc>
          <w:tcPr>
            <w:tcW w:w="1043" w:type="dxa"/>
            <w:noWrap/>
            <w:vAlign w:val="bottom"/>
            <w:hideMark/>
          </w:tcPr>
          <w:p w14:paraId="386BFF7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2233396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222D72A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4494CC9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support Master Data management</w:t>
            </w:r>
          </w:p>
        </w:tc>
        <w:tc>
          <w:tcPr>
            <w:tcW w:w="781" w:type="dxa"/>
            <w:noWrap/>
            <w:vAlign w:val="bottom"/>
            <w:hideMark/>
          </w:tcPr>
          <w:p w14:paraId="1B794E6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17C1192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65EE202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6A604BB7" w14:textId="77777777" w:rsidTr="00216A10">
        <w:trPr>
          <w:trHeight w:val="300"/>
        </w:trPr>
        <w:tc>
          <w:tcPr>
            <w:tcW w:w="918" w:type="dxa"/>
            <w:noWrap/>
            <w:vAlign w:val="bottom"/>
            <w:hideMark/>
          </w:tcPr>
          <w:p w14:paraId="5D2E1CF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03-005</w:t>
            </w:r>
          </w:p>
        </w:tc>
        <w:tc>
          <w:tcPr>
            <w:tcW w:w="1043" w:type="dxa"/>
            <w:noWrap/>
            <w:vAlign w:val="bottom"/>
            <w:hideMark/>
          </w:tcPr>
          <w:p w14:paraId="4D18FB3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526ACA5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65E074F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6EF51FD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support Truven/IBM data model-phase 2</w:t>
            </w:r>
          </w:p>
        </w:tc>
        <w:tc>
          <w:tcPr>
            <w:tcW w:w="781" w:type="dxa"/>
            <w:noWrap/>
            <w:vAlign w:val="bottom"/>
            <w:hideMark/>
          </w:tcPr>
          <w:p w14:paraId="4CD4818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0F7B12C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7F8D4A1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575C2B24" w14:textId="77777777" w:rsidTr="00216A10">
        <w:trPr>
          <w:trHeight w:val="300"/>
        </w:trPr>
        <w:tc>
          <w:tcPr>
            <w:tcW w:w="918" w:type="dxa"/>
            <w:noWrap/>
            <w:vAlign w:val="bottom"/>
            <w:hideMark/>
          </w:tcPr>
          <w:p w14:paraId="0B4592F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03-006</w:t>
            </w:r>
          </w:p>
        </w:tc>
        <w:tc>
          <w:tcPr>
            <w:tcW w:w="1043" w:type="dxa"/>
            <w:noWrap/>
            <w:vAlign w:val="bottom"/>
            <w:hideMark/>
          </w:tcPr>
          <w:p w14:paraId="072394E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7B150C5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8/1/17</w:t>
            </w:r>
          </w:p>
        </w:tc>
        <w:tc>
          <w:tcPr>
            <w:tcW w:w="1016" w:type="dxa"/>
            <w:noWrap/>
            <w:vAlign w:val="bottom"/>
            <w:hideMark/>
          </w:tcPr>
          <w:p w14:paraId="7187EB1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3/31/18</w:t>
            </w:r>
          </w:p>
        </w:tc>
        <w:tc>
          <w:tcPr>
            <w:tcW w:w="6629" w:type="dxa"/>
            <w:noWrap/>
            <w:vAlign w:val="bottom"/>
            <w:hideMark/>
          </w:tcPr>
          <w:p w14:paraId="065341F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Payment Model 2 analytic support from AIM/RDA</w:t>
            </w:r>
          </w:p>
        </w:tc>
        <w:tc>
          <w:tcPr>
            <w:tcW w:w="781" w:type="dxa"/>
            <w:noWrap/>
            <w:vAlign w:val="bottom"/>
            <w:hideMark/>
          </w:tcPr>
          <w:p w14:paraId="4315EAB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3AD9FD0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57CC656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59200972" w14:textId="77777777" w:rsidTr="00216A10">
        <w:trPr>
          <w:trHeight w:val="300"/>
        </w:trPr>
        <w:tc>
          <w:tcPr>
            <w:tcW w:w="918" w:type="dxa"/>
            <w:noWrap/>
            <w:vAlign w:val="bottom"/>
            <w:hideMark/>
          </w:tcPr>
          <w:p w14:paraId="05EFD96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03-007</w:t>
            </w:r>
          </w:p>
        </w:tc>
        <w:tc>
          <w:tcPr>
            <w:tcW w:w="1043" w:type="dxa"/>
            <w:noWrap/>
            <w:vAlign w:val="bottom"/>
            <w:hideMark/>
          </w:tcPr>
          <w:p w14:paraId="5D74D9C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66D477F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000A5D0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6629" w:type="dxa"/>
            <w:noWrap/>
            <w:vAlign w:val="bottom"/>
            <w:hideMark/>
          </w:tcPr>
          <w:p w14:paraId="289F8E6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explore Provider One updates to support FQHC/RHC APM4</w:t>
            </w:r>
          </w:p>
        </w:tc>
        <w:tc>
          <w:tcPr>
            <w:tcW w:w="781" w:type="dxa"/>
            <w:noWrap/>
            <w:vAlign w:val="bottom"/>
            <w:hideMark/>
          </w:tcPr>
          <w:p w14:paraId="0C274D2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5AC8A89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5EF787C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27DAE42B" w14:textId="77777777" w:rsidTr="00216A10">
        <w:trPr>
          <w:trHeight w:val="300"/>
        </w:trPr>
        <w:tc>
          <w:tcPr>
            <w:tcW w:w="918" w:type="dxa"/>
            <w:noWrap/>
            <w:vAlign w:val="bottom"/>
            <w:hideMark/>
          </w:tcPr>
          <w:p w14:paraId="3D1750C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03-008</w:t>
            </w:r>
          </w:p>
        </w:tc>
        <w:tc>
          <w:tcPr>
            <w:tcW w:w="1043" w:type="dxa"/>
            <w:noWrap/>
            <w:vAlign w:val="bottom"/>
            <w:hideMark/>
          </w:tcPr>
          <w:p w14:paraId="4283A20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88.00</w:t>
            </w:r>
          </w:p>
        </w:tc>
        <w:tc>
          <w:tcPr>
            <w:tcW w:w="910" w:type="dxa"/>
            <w:noWrap/>
            <w:vAlign w:val="bottom"/>
            <w:hideMark/>
          </w:tcPr>
          <w:p w14:paraId="4EEB294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2E9A662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744CA65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develop and disseminate data governance guidelines</w:t>
            </w:r>
          </w:p>
        </w:tc>
        <w:tc>
          <w:tcPr>
            <w:tcW w:w="781" w:type="dxa"/>
            <w:noWrap/>
            <w:vAlign w:val="bottom"/>
            <w:hideMark/>
          </w:tcPr>
          <w:p w14:paraId="3B96A48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1D32ED8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45CEC15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11B7D8A3" w14:textId="77777777" w:rsidTr="00216A10">
        <w:trPr>
          <w:trHeight w:val="300"/>
        </w:trPr>
        <w:tc>
          <w:tcPr>
            <w:tcW w:w="918" w:type="dxa"/>
            <w:noWrap/>
            <w:vAlign w:val="bottom"/>
            <w:hideMark/>
          </w:tcPr>
          <w:p w14:paraId="137011C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03-009</w:t>
            </w:r>
          </w:p>
        </w:tc>
        <w:tc>
          <w:tcPr>
            <w:tcW w:w="1043" w:type="dxa"/>
            <w:noWrap/>
            <w:vAlign w:val="bottom"/>
            <w:hideMark/>
          </w:tcPr>
          <w:p w14:paraId="4D65BB3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52CBAC8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6AA6B3C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184C838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support ACHs in adhering to HCA data governance guidelines</w:t>
            </w:r>
          </w:p>
        </w:tc>
        <w:tc>
          <w:tcPr>
            <w:tcW w:w="781" w:type="dxa"/>
            <w:noWrap/>
            <w:vAlign w:val="bottom"/>
            <w:hideMark/>
          </w:tcPr>
          <w:p w14:paraId="4A5DE95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0FCE9E8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04A38F2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2BEA6A36" w14:textId="77777777" w:rsidTr="00216A10">
        <w:trPr>
          <w:trHeight w:val="300"/>
        </w:trPr>
        <w:tc>
          <w:tcPr>
            <w:tcW w:w="918" w:type="dxa"/>
            <w:noWrap/>
            <w:vAlign w:val="bottom"/>
            <w:hideMark/>
          </w:tcPr>
          <w:p w14:paraId="54FE964B" w14:textId="77777777" w:rsidR="007A3BC9" w:rsidRPr="007A3BC9" w:rsidRDefault="007A3BC9" w:rsidP="007A3BC9">
            <w:pPr>
              <w:rPr>
                <w:rFonts w:eastAsia="Times New Roman" w:cstheme="minorHAnsi"/>
                <w:strike/>
                <w:sz w:val="20"/>
                <w:szCs w:val="20"/>
              </w:rPr>
            </w:pPr>
            <w:r w:rsidRPr="007A3BC9">
              <w:rPr>
                <w:rFonts w:ascii="Calibri" w:hAnsi="Calibri" w:cs="Calibri"/>
                <w:sz w:val="20"/>
                <w:szCs w:val="20"/>
              </w:rPr>
              <w:t>03-010</w:t>
            </w:r>
          </w:p>
        </w:tc>
        <w:tc>
          <w:tcPr>
            <w:tcW w:w="1043" w:type="dxa"/>
            <w:noWrap/>
            <w:vAlign w:val="bottom"/>
            <w:hideMark/>
          </w:tcPr>
          <w:p w14:paraId="45D8941C" w14:textId="77777777" w:rsidR="007A3BC9" w:rsidRPr="007A3BC9" w:rsidRDefault="007A3BC9" w:rsidP="007A3BC9">
            <w:pPr>
              <w:rPr>
                <w:rFonts w:eastAsia="Times New Roman" w:cstheme="minorHAnsi"/>
                <w:strike/>
                <w:sz w:val="20"/>
                <w:szCs w:val="20"/>
              </w:rPr>
            </w:pPr>
            <w:r w:rsidRPr="007A3BC9">
              <w:rPr>
                <w:rFonts w:ascii="Calibri" w:hAnsi="Calibri" w:cs="Calibri"/>
                <w:sz w:val="20"/>
                <w:szCs w:val="20"/>
              </w:rPr>
              <w:t>100.00</w:t>
            </w:r>
          </w:p>
        </w:tc>
        <w:tc>
          <w:tcPr>
            <w:tcW w:w="910" w:type="dxa"/>
            <w:noWrap/>
            <w:vAlign w:val="bottom"/>
            <w:hideMark/>
          </w:tcPr>
          <w:p w14:paraId="20B6E059" w14:textId="77777777" w:rsidR="007A3BC9" w:rsidRPr="007A3BC9" w:rsidRDefault="007A3BC9" w:rsidP="007A3BC9">
            <w:pPr>
              <w:rPr>
                <w:rFonts w:eastAsia="Times New Roman" w:cstheme="minorHAnsi"/>
                <w:strike/>
                <w:sz w:val="20"/>
                <w:szCs w:val="20"/>
              </w:rPr>
            </w:pPr>
            <w:r w:rsidRPr="007A3BC9">
              <w:rPr>
                <w:rFonts w:ascii="Calibri" w:hAnsi="Calibri" w:cs="Calibri"/>
                <w:sz w:val="20"/>
                <w:szCs w:val="20"/>
              </w:rPr>
              <w:t>10/1/17</w:t>
            </w:r>
          </w:p>
        </w:tc>
        <w:tc>
          <w:tcPr>
            <w:tcW w:w="1016" w:type="dxa"/>
            <w:noWrap/>
            <w:vAlign w:val="bottom"/>
            <w:hideMark/>
          </w:tcPr>
          <w:p w14:paraId="22C97892" w14:textId="77777777" w:rsidR="007A3BC9" w:rsidRPr="007A3BC9" w:rsidRDefault="007A3BC9" w:rsidP="007A3BC9">
            <w:pPr>
              <w:rPr>
                <w:rFonts w:eastAsia="Times New Roman" w:cstheme="minorHAnsi"/>
                <w:strike/>
                <w:sz w:val="20"/>
                <w:szCs w:val="20"/>
              </w:rPr>
            </w:pPr>
            <w:r w:rsidRPr="007A3BC9">
              <w:rPr>
                <w:rFonts w:ascii="Calibri" w:hAnsi="Calibri" w:cs="Calibri"/>
                <w:sz w:val="20"/>
                <w:szCs w:val="20"/>
              </w:rPr>
              <w:t>3/31/18</w:t>
            </w:r>
          </w:p>
        </w:tc>
        <w:tc>
          <w:tcPr>
            <w:tcW w:w="6629" w:type="dxa"/>
            <w:noWrap/>
            <w:vAlign w:val="bottom"/>
            <w:hideMark/>
          </w:tcPr>
          <w:p w14:paraId="26234265" w14:textId="77777777" w:rsidR="007A3BC9" w:rsidRPr="007A3BC9" w:rsidRDefault="007A3BC9" w:rsidP="007A3BC9">
            <w:pPr>
              <w:rPr>
                <w:rFonts w:eastAsia="Times New Roman" w:cstheme="minorHAnsi"/>
                <w:strike/>
                <w:sz w:val="20"/>
                <w:szCs w:val="20"/>
              </w:rPr>
            </w:pPr>
            <w:r w:rsidRPr="007A3BC9">
              <w:rPr>
                <w:rFonts w:ascii="Calibri" w:hAnsi="Calibri" w:cs="Calibri"/>
                <w:sz w:val="20"/>
                <w:szCs w:val="20"/>
              </w:rPr>
              <w:t>HCA and DSHS will consult with SAMHSA on 42 CFR Part 2</w:t>
            </w:r>
          </w:p>
        </w:tc>
        <w:tc>
          <w:tcPr>
            <w:tcW w:w="781" w:type="dxa"/>
            <w:noWrap/>
            <w:vAlign w:val="bottom"/>
            <w:hideMark/>
          </w:tcPr>
          <w:p w14:paraId="31B6EFDD" w14:textId="77777777" w:rsidR="007A3BC9" w:rsidRPr="007A3BC9" w:rsidRDefault="007A3BC9" w:rsidP="007A3BC9">
            <w:pPr>
              <w:rPr>
                <w:rFonts w:eastAsia="Times New Roman" w:cstheme="minorHAnsi"/>
                <w:strike/>
                <w:sz w:val="20"/>
                <w:szCs w:val="20"/>
              </w:rPr>
            </w:pPr>
            <w:r w:rsidRPr="007A3BC9">
              <w:rPr>
                <w:rFonts w:ascii="Calibri" w:hAnsi="Calibri" w:cs="Calibri"/>
                <w:sz w:val="20"/>
                <w:szCs w:val="20"/>
              </w:rPr>
              <w:t>Q1</w:t>
            </w:r>
          </w:p>
        </w:tc>
        <w:tc>
          <w:tcPr>
            <w:tcW w:w="1798" w:type="dxa"/>
            <w:noWrap/>
            <w:vAlign w:val="bottom"/>
            <w:hideMark/>
          </w:tcPr>
          <w:p w14:paraId="521CBC96" w14:textId="77777777" w:rsidR="007A3BC9" w:rsidRPr="007A3BC9" w:rsidRDefault="007A3BC9" w:rsidP="007A3BC9">
            <w:pPr>
              <w:rPr>
                <w:rFonts w:eastAsia="Times New Roman" w:cstheme="minorHAnsi"/>
                <w:strike/>
                <w:sz w:val="20"/>
                <w:szCs w:val="20"/>
              </w:rPr>
            </w:pPr>
            <w:r w:rsidRPr="007A3BC9">
              <w:rPr>
                <w:rFonts w:ascii="Calibri" w:hAnsi="Calibri" w:cs="Calibri"/>
                <w:sz w:val="20"/>
                <w:szCs w:val="20"/>
              </w:rPr>
              <w:t>Complete</w:t>
            </w:r>
          </w:p>
        </w:tc>
        <w:tc>
          <w:tcPr>
            <w:tcW w:w="1295" w:type="dxa"/>
            <w:noWrap/>
            <w:vAlign w:val="bottom"/>
            <w:hideMark/>
          </w:tcPr>
          <w:p w14:paraId="337BB56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505D6F6D" w14:textId="77777777" w:rsidTr="00216A10">
        <w:trPr>
          <w:trHeight w:val="300"/>
        </w:trPr>
        <w:tc>
          <w:tcPr>
            <w:tcW w:w="918" w:type="dxa"/>
            <w:noWrap/>
            <w:vAlign w:val="bottom"/>
            <w:hideMark/>
          </w:tcPr>
          <w:p w14:paraId="5AF96BE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03-011</w:t>
            </w:r>
          </w:p>
        </w:tc>
        <w:tc>
          <w:tcPr>
            <w:tcW w:w="1043" w:type="dxa"/>
            <w:noWrap/>
            <w:vAlign w:val="bottom"/>
            <w:hideMark/>
          </w:tcPr>
          <w:p w14:paraId="2DACCE3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5970CDC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5793406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3/31/18</w:t>
            </w:r>
          </w:p>
        </w:tc>
        <w:tc>
          <w:tcPr>
            <w:tcW w:w="6629" w:type="dxa"/>
            <w:noWrap/>
            <w:vAlign w:val="bottom"/>
            <w:hideMark/>
          </w:tcPr>
          <w:p w14:paraId="471AABF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collaborate with ONC on state collaborative for SUD and other sensitive information</w:t>
            </w:r>
          </w:p>
        </w:tc>
        <w:tc>
          <w:tcPr>
            <w:tcW w:w="781" w:type="dxa"/>
            <w:noWrap/>
            <w:vAlign w:val="bottom"/>
            <w:hideMark/>
          </w:tcPr>
          <w:p w14:paraId="65435EC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Q2</w:t>
            </w:r>
          </w:p>
        </w:tc>
        <w:tc>
          <w:tcPr>
            <w:tcW w:w="1798" w:type="dxa"/>
            <w:noWrap/>
            <w:vAlign w:val="bottom"/>
            <w:hideMark/>
          </w:tcPr>
          <w:p w14:paraId="64978F1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255887C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4DE78D4F" w14:textId="77777777" w:rsidTr="00216A10">
        <w:trPr>
          <w:trHeight w:val="300"/>
        </w:trPr>
        <w:tc>
          <w:tcPr>
            <w:tcW w:w="918" w:type="dxa"/>
            <w:noWrap/>
            <w:vAlign w:val="bottom"/>
            <w:hideMark/>
          </w:tcPr>
          <w:p w14:paraId="2B8880C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03-012</w:t>
            </w:r>
          </w:p>
        </w:tc>
        <w:tc>
          <w:tcPr>
            <w:tcW w:w="1043" w:type="dxa"/>
            <w:noWrap/>
            <w:vAlign w:val="bottom"/>
            <w:hideMark/>
          </w:tcPr>
          <w:p w14:paraId="2EC1973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53D28D3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4F80635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6/30/18</w:t>
            </w:r>
          </w:p>
        </w:tc>
        <w:tc>
          <w:tcPr>
            <w:tcW w:w="6629" w:type="dxa"/>
            <w:noWrap/>
            <w:vAlign w:val="bottom"/>
            <w:hideMark/>
          </w:tcPr>
          <w:p w14:paraId="0B6F5A0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encourage other state agencies to participate in ONC state learning collaborative</w:t>
            </w:r>
          </w:p>
        </w:tc>
        <w:tc>
          <w:tcPr>
            <w:tcW w:w="781" w:type="dxa"/>
            <w:noWrap/>
            <w:vAlign w:val="bottom"/>
            <w:hideMark/>
          </w:tcPr>
          <w:p w14:paraId="49DD36C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468A41C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410A944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2E70CEC2" w14:textId="77777777" w:rsidTr="00216A10">
        <w:trPr>
          <w:trHeight w:val="300"/>
        </w:trPr>
        <w:tc>
          <w:tcPr>
            <w:tcW w:w="918" w:type="dxa"/>
            <w:noWrap/>
            <w:vAlign w:val="bottom"/>
            <w:hideMark/>
          </w:tcPr>
          <w:p w14:paraId="4724F2E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lastRenderedPageBreak/>
              <w:t>03-013</w:t>
            </w:r>
          </w:p>
        </w:tc>
        <w:tc>
          <w:tcPr>
            <w:tcW w:w="1043" w:type="dxa"/>
            <w:noWrap/>
            <w:vAlign w:val="bottom"/>
            <w:hideMark/>
          </w:tcPr>
          <w:p w14:paraId="6F8774A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50.00</w:t>
            </w:r>
          </w:p>
        </w:tc>
        <w:tc>
          <w:tcPr>
            <w:tcW w:w="910" w:type="dxa"/>
            <w:noWrap/>
            <w:vAlign w:val="bottom"/>
            <w:hideMark/>
          </w:tcPr>
          <w:p w14:paraId="3A92808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215AC4C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323C673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share information about consent management of sensitive/SUD information</w:t>
            </w:r>
          </w:p>
        </w:tc>
        <w:tc>
          <w:tcPr>
            <w:tcW w:w="781" w:type="dxa"/>
            <w:noWrap/>
            <w:vAlign w:val="bottom"/>
            <w:hideMark/>
          </w:tcPr>
          <w:p w14:paraId="525100D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089A6A7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26F209D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5C60A505" w14:textId="77777777" w:rsidTr="00216A10">
        <w:trPr>
          <w:trHeight w:val="300"/>
        </w:trPr>
        <w:tc>
          <w:tcPr>
            <w:tcW w:w="918" w:type="dxa"/>
            <w:noWrap/>
            <w:vAlign w:val="bottom"/>
            <w:hideMark/>
          </w:tcPr>
          <w:p w14:paraId="38B8A4C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03-014</w:t>
            </w:r>
          </w:p>
        </w:tc>
        <w:tc>
          <w:tcPr>
            <w:tcW w:w="1043" w:type="dxa"/>
            <w:noWrap/>
            <w:vAlign w:val="bottom"/>
            <w:hideMark/>
          </w:tcPr>
          <w:p w14:paraId="1E96E20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1D6AF28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2AE7DF4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1C6E127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identify components to pilot the exchange of consent management for 42 CFR part 2</w:t>
            </w:r>
          </w:p>
        </w:tc>
        <w:tc>
          <w:tcPr>
            <w:tcW w:w="781" w:type="dxa"/>
            <w:noWrap/>
            <w:vAlign w:val="bottom"/>
            <w:hideMark/>
          </w:tcPr>
          <w:p w14:paraId="45C65CD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Q1</w:t>
            </w:r>
          </w:p>
        </w:tc>
        <w:tc>
          <w:tcPr>
            <w:tcW w:w="1798" w:type="dxa"/>
            <w:noWrap/>
            <w:vAlign w:val="bottom"/>
            <w:hideMark/>
          </w:tcPr>
          <w:p w14:paraId="65E5154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206EF95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44960165" w14:textId="77777777" w:rsidTr="00216A10">
        <w:trPr>
          <w:trHeight w:val="300"/>
        </w:trPr>
        <w:tc>
          <w:tcPr>
            <w:tcW w:w="918" w:type="dxa"/>
            <w:noWrap/>
            <w:vAlign w:val="bottom"/>
            <w:hideMark/>
          </w:tcPr>
          <w:p w14:paraId="02A79AE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03-015</w:t>
            </w:r>
          </w:p>
        </w:tc>
        <w:tc>
          <w:tcPr>
            <w:tcW w:w="1043" w:type="dxa"/>
            <w:noWrap/>
            <w:vAlign w:val="bottom"/>
            <w:hideMark/>
          </w:tcPr>
          <w:p w14:paraId="72EEE4A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51C6350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3BEE43F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3EB2011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Develop DSAs that adhere to state and agency policies for data governance</w:t>
            </w:r>
          </w:p>
        </w:tc>
        <w:tc>
          <w:tcPr>
            <w:tcW w:w="781" w:type="dxa"/>
            <w:noWrap/>
            <w:vAlign w:val="bottom"/>
            <w:hideMark/>
          </w:tcPr>
          <w:p w14:paraId="4DE0CF8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Q1</w:t>
            </w:r>
          </w:p>
        </w:tc>
        <w:tc>
          <w:tcPr>
            <w:tcW w:w="1798" w:type="dxa"/>
            <w:noWrap/>
            <w:vAlign w:val="bottom"/>
            <w:hideMark/>
          </w:tcPr>
          <w:p w14:paraId="4487729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1B45172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180353DF" w14:textId="77777777" w:rsidTr="00216A10">
        <w:trPr>
          <w:trHeight w:val="300"/>
        </w:trPr>
        <w:tc>
          <w:tcPr>
            <w:tcW w:w="918" w:type="dxa"/>
            <w:noWrap/>
            <w:vAlign w:val="bottom"/>
            <w:hideMark/>
          </w:tcPr>
          <w:p w14:paraId="49C04B7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03-016</w:t>
            </w:r>
          </w:p>
        </w:tc>
        <w:tc>
          <w:tcPr>
            <w:tcW w:w="1043" w:type="dxa"/>
            <w:noWrap/>
            <w:vAlign w:val="bottom"/>
            <w:hideMark/>
          </w:tcPr>
          <w:p w14:paraId="711B206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38B67D3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4BEE553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6/30/18</w:t>
            </w:r>
          </w:p>
        </w:tc>
        <w:tc>
          <w:tcPr>
            <w:tcW w:w="6629" w:type="dxa"/>
            <w:noWrap/>
            <w:vAlign w:val="bottom"/>
            <w:hideMark/>
          </w:tcPr>
          <w:p w14:paraId="1147D53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Consult with ONC to understand 21st century cures act</w:t>
            </w:r>
          </w:p>
        </w:tc>
        <w:tc>
          <w:tcPr>
            <w:tcW w:w="781" w:type="dxa"/>
            <w:noWrap/>
            <w:vAlign w:val="bottom"/>
            <w:hideMark/>
          </w:tcPr>
          <w:p w14:paraId="0BCBFF6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Q2</w:t>
            </w:r>
          </w:p>
        </w:tc>
        <w:tc>
          <w:tcPr>
            <w:tcW w:w="1798" w:type="dxa"/>
            <w:noWrap/>
            <w:vAlign w:val="bottom"/>
            <w:hideMark/>
          </w:tcPr>
          <w:p w14:paraId="2C1179B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3576576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7E61D0C8" w14:textId="77777777" w:rsidTr="00216A10">
        <w:trPr>
          <w:trHeight w:val="300"/>
        </w:trPr>
        <w:tc>
          <w:tcPr>
            <w:tcW w:w="918" w:type="dxa"/>
            <w:noWrap/>
            <w:vAlign w:val="bottom"/>
            <w:hideMark/>
          </w:tcPr>
          <w:p w14:paraId="52B562D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03-017</w:t>
            </w:r>
          </w:p>
        </w:tc>
        <w:tc>
          <w:tcPr>
            <w:tcW w:w="1043" w:type="dxa"/>
            <w:noWrap/>
            <w:vAlign w:val="bottom"/>
            <w:hideMark/>
          </w:tcPr>
          <w:p w14:paraId="139E6B6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3F8A8A2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40E30E8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61B11D6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Statewide DSA strategy Complete</w:t>
            </w:r>
          </w:p>
        </w:tc>
        <w:tc>
          <w:tcPr>
            <w:tcW w:w="781" w:type="dxa"/>
            <w:noWrap/>
            <w:vAlign w:val="bottom"/>
            <w:hideMark/>
          </w:tcPr>
          <w:p w14:paraId="62C1890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35B39E0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46C13D8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51DBA77D" w14:textId="77777777" w:rsidTr="00216A10">
        <w:trPr>
          <w:trHeight w:val="300"/>
        </w:trPr>
        <w:tc>
          <w:tcPr>
            <w:tcW w:w="918" w:type="dxa"/>
            <w:noWrap/>
            <w:vAlign w:val="bottom"/>
            <w:hideMark/>
          </w:tcPr>
          <w:p w14:paraId="0993951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03-019</w:t>
            </w:r>
          </w:p>
        </w:tc>
        <w:tc>
          <w:tcPr>
            <w:tcW w:w="1043" w:type="dxa"/>
            <w:noWrap/>
            <w:vAlign w:val="bottom"/>
            <w:hideMark/>
          </w:tcPr>
          <w:p w14:paraId="7DCABCA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65B4998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5C72ACE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365F0F9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encourage ACHs to partner with jails and corrections to ease burdens at transition</w:t>
            </w:r>
          </w:p>
        </w:tc>
        <w:tc>
          <w:tcPr>
            <w:tcW w:w="781" w:type="dxa"/>
            <w:noWrap/>
            <w:vAlign w:val="bottom"/>
            <w:hideMark/>
          </w:tcPr>
          <w:p w14:paraId="77E654F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5A55A52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22AC94F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Governance</w:t>
            </w:r>
          </w:p>
        </w:tc>
      </w:tr>
      <w:tr w:rsidR="007A3BC9" w:rsidRPr="00E13A47" w14:paraId="3FE50286" w14:textId="77777777" w:rsidTr="00216A10">
        <w:trPr>
          <w:trHeight w:val="300"/>
        </w:trPr>
        <w:tc>
          <w:tcPr>
            <w:tcW w:w="918" w:type="dxa"/>
            <w:noWrap/>
            <w:vAlign w:val="bottom"/>
            <w:hideMark/>
          </w:tcPr>
          <w:p w14:paraId="72B5457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04-001</w:t>
            </w:r>
          </w:p>
        </w:tc>
        <w:tc>
          <w:tcPr>
            <w:tcW w:w="1043" w:type="dxa"/>
            <w:noWrap/>
            <w:vAlign w:val="bottom"/>
            <w:hideMark/>
          </w:tcPr>
          <w:p w14:paraId="2F37DFD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45.00</w:t>
            </w:r>
          </w:p>
        </w:tc>
        <w:tc>
          <w:tcPr>
            <w:tcW w:w="910" w:type="dxa"/>
            <w:noWrap/>
            <w:vAlign w:val="bottom"/>
            <w:hideMark/>
          </w:tcPr>
          <w:p w14:paraId="0D94337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11/1/17</w:t>
            </w:r>
          </w:p>
        </w:tc>
        <w:tc>
          <w:tcPr>
            <w:tcW w:w="1016" w:type="dxa"/>
            <w:noWrap/>
            <w:vAlign w:val="bottom"/>
            <w:hideMark/>
          </w:tcPr>
          <w:p w14:paraId="09876B0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2B2266C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build out dashboards for Medicaid standard reporting</w:t>
            </w:r>
          </w:p>
        </w:tc>
        <w:tc>
          <w:tcPr>
            <w:tcW w:w="781" w:type="dxa"/>
            <w:noWrap/>
            <w:vAlign w:val="bottom"/>
            <w:hideMark/>
          </w:tcPr>
          <w:p w14:paraId="61CDBBB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2CA6D94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17EB7B4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Analytics</w:t>
            </w:r>
          </w:p>
        </w:tc>
      </w:tr>
      <w:tr w:rsidR="007A3BC9" w:rsidRPr="00E13A47" w14:paraId="31746C99" w14:textId="77777777" w:rsidTr="00216A10">
        <w:trPr>
          <w:trHeight w:val="300"/>
        </w:trPr>
        <w:tc>
          <w:tcPr>
            <w:tcW w:w="918" w:type="dxa"/>
            <w:noWrap/>
            <w:vAlign w:val="bottom"/>
            <w:hideMark/>
          </w:tcPr>
          <w:p w14:paraId="4F9E9D3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04-002</w:t>
            </w:r>
          </w:p>
        </w:tc>
        <w:tc>
          <w:tcPr>
            <w:tcW w:w="1043" w:type="dxa"/>
            <w:noWrap/>
            <w:vAlign w:val="bottom"/>
            <w:hideMark/>
          </w:tcPr>
          <w:p w14:paraId="1301BB8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448398C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078A1F9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3/31/18</w:t>
            </w:r>
          </w:p>
        </w:tc>
        <w:tc>
          <w:tcPr>
            <w:tcW w:w="6629" w:type="dxa"/>
            <w:noWrap/>
            <w:vAlign w:val="bottom"/>
            <w:hideMark/>
          </w:tcPr>
          <w:p w14:paraId="58EA5D8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create analytic ready data products</w:t>
            </w:r>
          </w:p>
        </w:tc>
        <w:tc>
          <w:tcPr>
            <w:tcW w:w="781" w:type="dxa"/>
            <w:noWrap/>
            <w:vAlign w:val="bottom"/>
            <w:hideMark/>
          </w:tcPr>
          <w:p w14:paraId="32142D4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Q2</w:t>
            </w:r>
          </w:p>
        </w:tc>
        <w:tc>
          <w:tcPr>
            <w:tcW w:w="1798" w:type="dxa"/>
            <w:noWrap/>
            <w:vAlign w:val="bottom"/>
            <w:hideMark/>
          </w:tcPr>
          <w:p w14:paraId="4B1935E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21360BE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Analytics</w:t>
            </w:r>
          </w:p>
        </w:tc>
      </w:tr>
      <w:tr w:rsidR="007A3BC9" w:rsidRPr="00E13A47" w14:paraId="53E02539" w14:textId="77777777" w:rsidTr="00216A10">
        <w:trPr>
          <w:trHeight w:val="300"/>
        </w:trPr>
        <w:tc>
          <w:tcPr>
            <w:tcW w:w="918" w:type="dxa"/>
            <w:noWrap/>
            <w:vAlign w:val="bottom"/>
            <w:hideMark/>
          </w:tcPr>
          <w:p w14:paraId="5A76F9D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05-001</w:t>
            </w:r>
          </w:p>
        </w:tc>
        <w:tc>
          <w:tcPr>
            <w:tcW w:w="1043" w:type="dxa"/>
            <w:noWrap/>
            <w:vAlign w:val="bottom"/>
            <w:hideMark/>
          </w:tcPr>
          <w:p w14:paraId="215B287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50.00</w:t>
            </w:r>
          </w:p>
        </w:tc>
        <w:tc>
          <w:tcPr>
            <w:tcW w:w="910" w:type="dxa"/>
            <w:noWrap/>
            <w:vAlign w:val="bottom"/>
            <w:hideMark/>
          </w:tcPr>
          <w:p w14:paraId="412C06A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510892C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50F2DEA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HIT/HIE Assessment strategy complete</w:t>
            </w:r>
          </w:p>
        </w:tc>
        <w:tc>
          <w:tcPr>
            <w:tcW w:w="781" w:type="dxa"/>
            <w:noWrap/>
            <w:vAlign w:val="bottom"/>
            <w:hideMark/>
          </w:tcPr>
          <w:p w14:paraId="1053FBF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00F60A0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79EB531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5986307A" w14:textId="77777777" w:rsidTr="00216A10">
        <w:trPr>
          <w:trHeight w:val="300"/>
        </w:trPr>
        <w:tc>
          <w:tcPr>
            <w:tcW w:w="918" w:type="dxa"/>
            <w:noWrap/>
            <w:vAlign w:val="bottom"/>
            <w:hideMark/>
          </w:tcPr>
          <w:p w14:paraId="5900EF2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05-002</w:t>
            </w:r>
          </w:p>
        </w:tc>
        <w:tc>
          <w:tcPr>
            <w:tcW w:w="1043" w:type="dxa"/>
            <w:noWrap/>
            <w:vAlign w:val="bottom"/>
            <w:hideMark/>
          </w:tcPr>
          <w:p w14:paraId="13E4414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75.00</w:t>
            </w:r>
          </w:p>
        </w:tc>
        <w:tc>
          <w:tcPr>
            <w:tcW w:w="910" w:type="dxa"/>
            <w:noWrap/>
            <w:vAlign w:val="bottom"/>
            <w:hideMark/>
          </w:tcPr>
          <w:p w14:paraId="36AA0A6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345DECA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7/31/18</w:t>
            </w:r>
          </w:p>
        </w:tc>
        <w:tc>
          <w:tcPr>
            <w:tcW w:w="6629" w:type="dxa"/>
            <w:noWrap/>
            <w:vAlign w:val="bottom"/>
            <w:hideMark/>
          </w:tcPr>
          <w:p w14:paraId="124DB23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Determine scope and results of HIT/HIE assessments of providers in ACHs</w:t>
            </w:r>
          </w:p>
        </w:tc>
        <w:tc>
          <w:tcPr>
            <w:tcW w:w="781" w:type="dxa"/>
            <w:noWrap/>
            <w:vAlign w:val="bottom"/>
            <w:hideMark/>
          </w:tcPr>
          <w:p w14:paraId="49B9D99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79DE57B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61D8E99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327F097D" w14:textId="77777777" w:rsidTr="00216A10">
        <w:trPr>
          <w:trHeight w:val="300"/>
        </w:trPr>
        <w:tc>
          <w:tcPr>
            <w:tcW w:w="918" w:type="dxa"/>
            <w:noWrap/>
            <w:vAlign w:val="bottom"/>
            <w:hideMark/>
          </w:tcPr>
          <w:p w14:paraId="0BFEA45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05-003</w:t>
            </w:r>
          </w:p>
        </w:tc>
        <w:tc>
          <w:tcPr>
            <w:tcW w:w="1043" w:type="dxa"/>
            <w:noWrap/>
            <w:vAlign w:val="bottom"/>
            <w:hideMark/>
          </w:tcPr>
          <w:p w14:paraId="42F4812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390B177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79913FA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3/31/18</w:t>
            </w:r>
          </w:p>
        </w:tc>
        <w:tc>
          <w:tcPr>
            <w:tcW w:w="6629" w:type="dxa"/>
            <w:noWrap/>
            <w:vAlign w:val="bottom"/>
            <w:hideMark/>
          </w:tcPr>
          <w:p w14:paraId="54448FD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Introduce ACHs, Providers and other to CMS Health information sharing assessment</w:t>
            </w:r>
          </w:p>
        </w:tc>
        <w:tc>
          <w:tcPr>
            <w:tcW w:w="781" w:type="dxa"/>
            <w:noWrap/>
            <w:vAlign w:val="bottom"/>
            <w:hideMark/>
          </w:tcPr>
          <w:p w14:paraId="654EE36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1E75C38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26DAC9D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34C207F3" w14:textId="77777777" w:rsidTr="00216A10">
        <w:trPr>
          <w:trHeight w:val="300"/>
        </w:trPr>
        <w:tc>
          <w:tcPr>
            <w:tcW w:w="918" w:type="dxa"/>
            <w:noWrap/>
            <w:vAlign w:val="bottom"/>
            <w:hideMark/>
          </w:tcPr>
          <w:p w14:paraId="4E9BD0F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05-004</w:t>
            </w:r>
          </w:p>
        </w:tc>
        <w:tc>
          <w:tcPr>
            <w:tcW w:w="1043" w:type="dxa"/>
            <w:noWrap/>
            <w:vAlign w:val="bottom"/>
            <w:hideMark/>
          </w:tcPr>
          <w:p w14:paraId="4AAC2AF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25.00</w:t>
            </w:r>
          </w:p>
        </w:tc>
        <w:tc>
          <w:tcPr>
            <w:tcW w:w="910" w:type="dxa"/>
            <w:noWrap/>
            <w:vAlign w:val="bottom"/>
            <w:hideMark/>
          </w:tcPr>
          <w:p w14:paraId="49F8DEA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6B83A5B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3478EB3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If needed, HCA will support ACHs in assessing provider HIT capacity</w:t>
            </w:r>
          </w:p>
        </w:tc>
        <w:tc>
          <w:tcPr>
            <w:tcW w:w="781" w:type="dxa"/>
            <w:noWrap/>
            <w:vAlign w:val="bottom"/>
            <w:hideMark/>
          </w:tcPr>
          <w:p w14:paraId="1DE399E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Q1</w:t>
            </w:r>
          </w:p>
        </w:tc>
        <w:tc>
          <w:tcPr>
            <w:tcW w:w="1798" w:type="dxa"/>
            <w:noWrap/>
            <w:vAlign w:val="bottom"/>
            <w:hideMark/>
          </w:tcPr>
          <w:p w14:paraId="3F95253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57C17C1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65CCB3DE" w14:textId="77777777" w:rsidTr="00216A10">
        <w:trPr>
          <w:trHeight w:val="300"/>
        </w:trPr>
        <w:tc>
          <w:tcPr>
            <w:tcW w:w="918" w:type="dxa"/>
            <w:noWrap/>
            <w:vAlign w:val="bottom"/>
            <w:hideMark/>
          </w:tcPr>
          <w:p w14:paraId="12B7B25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05-005</w:t>
            </w:r>
          </w:p>
        </w:tc>
        <w:tc>
          <w:tcPr>
            <w:tcW w:w="1043" w:type="dxa"/>
            <w:noWrap/>
            <w:vAlign w:val="bottom"/>
            <w:hideMark/>
          </w:tcPr>
          <w:p w14:paraId="2C41B53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89.00</w:t>
            </w:r>
          </w:p>
        </w:tc>
        <w:tc>
          <w:tcPr>
            <w:tcW w:w="910" w:type="dxa"/>
            <w:noWrap/>
            <w:vAlign w:val="bottom"/>
            <w:hideMark/>
          </w:tcPr>
          <w:p w14:paraId="6FD27B6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78D5695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7/31/18</w:t>
            </w:r>
          </w:p>
        </w:tc>
        <w:tc>
          <w:tcPr>
            <w:tcW w:w="6629" w:type="dxa"/>
            <w:noWrap/>
            <w:vAlign w:val="bottom"/>
            <w:hideMark/>
          </w:tcPr>
          <w:p w14:paraId="2E366A7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Explore HIT/HIE solutions to address barriers/gaps in ACH projects</w:t>
            </w:r>
          </w:p>
        </w:tc>
        <w:tc>
          <w:tcPr>
            <w:tcW w:w="781" w:type="dxa"/>
            <w:noWrap/>
            <w:vAlign w:val="bottom"/>
            <w:hideMark/>
          </w:tcPr>
          <w:p w14:paraId="78A05FC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3B8746B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4FB1746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5CA4CD1F" w14:textId="77777777" w:rsidTr="00216A10">
        <w:trPr>
          <w:trHeight w:val="300"/>
        </w:trPr>
        <w:tc>
          <w:tcPr>
            <w:tcW w:w="918" w:type="dxa"/>
            <w:noWrap/>
            <w:vAlign w:val="bottom"/>
            <w:hideMark/>
          </w:tcPr>
          <w:p w14:paraId="791D3AE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05-006</w:t>
            </w:r>
          </w:p>
        </w:tc>
        <w:tc>
          <w:tcPr>
            <w:tcW w:w="1043" w:type="dxa"/>
            <w:noWrap/>
            <w:vAlign w:val="bottom"/>
            <w:hideMark/>
          </w:tcPr>
          <w:p w14:paraId="716A191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0E5191C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6A51391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3/31/18</w:t>
            </w:r>
          </w:p>
        </w:tc>
        <w:tc>
          <w:tcPr>
            <w:tcW w:w="6629" w:type="dxa"/>
            <w:noWrap/>
            <w:vAlign w:val="bottom"/>
            <w:hideMark/>
          </w:tcPr>
          <w:p w14:paraId="4908B02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Participate in round table discussions with tribal governments</w:t>
            </w:r>
          </w:p>
        </w:tc>
        <w:tc>
          <w:tcPr>
            <w:tcW w:w="781" w:type="dxa"/>
            <w:noWrap/>
            <w:vAlign w:val="bottom"/>
            <w:hideMark/>
          </w:tcPr>
          <w:p w14:paraId="6D5A9ED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488D3DD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6D89DB0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2DF8D1B3" w14:textId="77777777" w:rsidTr="00216A10">
        <w:trPr>
          <w:trHeight w:val="300"/>
        </w:trPr>
        <w:tc>
          <w:tcPr>
            <w:tcW w:w="918" w:type="dxa"/>
            <w:noWrap/>
            <w:vAlign w:val="bottom"/>
            <w:hideMark/>
          </w:tcPr>
          <w:p w14:paraId="395E0AF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lastRenderedPageBreak/>
              <w:t>05-007</w:t>
            </w:r>
          </w:p>
        </w:tc>
        <w:tc>
          <w:tcPr>
            <w:tcW w:w="1043" w:type="dxa"/>
            <w:noWrap/>
            <w:vAlign w:val="bottom"/>
            <w:hideMark/>
          </w:tcPr>
          <w:p w14:paraId="67D82E8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6B7DC7B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5364573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6/30/18</w:t>
            </w:r>
          </w:p>
        </w:tc>
        <w:tc>
          <w:tcPr>
            <w:tcW w:w="6629" w:type="dxa"/>
            <w:noWrap/>
            <w:vAlign w:val="bottom"/>
            <w:hideMark/>
          </w:tcPr>
          <w:p w14:paraId="4B7252E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Provide a presentation on HIE to tribal government leaders</w:t>
            </w:r>
          </w:p>
        </w:tc>
        <w:tc>
          <w:tcPr>
            <w:tcW w:w="781" w:type="dxa"/>
            <w:noWrap/>
            <w:vAlign w:val="bottom"/>
            <w:hideMark/>
          </w:tcPr>
          <w:p w14:paraId="7BE3997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Q1</w:t>
            </w:r>
          </w:p>
        </w:tc>
        <w:tc>
          <w:tcPr>
            <w:tcW w:w="1798" w:type="dxa"/>
            <w:noWrap/>
            <w:vAlign w:val="bottom"/>
            <w:hideMark/>
          </w:tcPr>
          <w:p w14:paraId="658489B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28A3C63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666C35CE" w14:textId="77777777" w:rsidTr="00216A10">
        <w:trPr>
          <w:trHeight w:val="300"/>
        </w:trPr>
        <w:tc>
          <w:tcPr>
            <w:tcW w:w="918" w:type="dxa"/>
            <w:noWrap/>
            <w:vAlign w:val="bottom"/>
            <w:hideMark/>
          </w:tcPr>
          <w:p w14:paraId="3D919B1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05-008</w:t>
            </w:r>
          </w:p>
        </w:tc>
        <w:tc>
          <w:tcPr>
            <w:tcW w:w="1043" w:type="dxa"/>
            <w:noWrap/>
            <w:vAlign w:val="bottom"/>
            <w:hideMark/>
          </w:tcPr>
          <w:p w14:paraId="15F6A94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32C7E06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38F9B02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3/15/18</w:t>
            </w:r>
          </w:p>
        </w:tc>
        <w:tc>
          <w:tcPr>
            <w:tcW w:w="6629" w:type="dxa"/>
            <w:noWrap/>
            <w:vAlign w:val="bottom"/>
            <w:hideMark/>
          </w:tcPr>
          <w:p w14:paraId="5DE8B4D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consult with Tribal Government leaders to understand concerns related to privacy issues and identify solutions to address concerns</w:t>
            </w:r>
          </w:p>
        </w:tc>
        <w:tc>
          <w:tcPr>
            <w:tcW w:w="781" w:type="dxa"/>
            <w:noWrap/>
            <w:vAlign w:val="bottom"/>
            <w:hideMark/>
          </w:tcPr>
          <w:p w14:paraId="436E9E0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05B1716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03581D6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41B26E3F" w14:textId="77777777" w:rsidTr="00216A10">
        <w:trPr>
          <w:trHeight w:val="300"/>
        </w:trPr>
        <w:tc>
          <w:tcPr>
            <w:tcW w:w="918" w:type="dxa"/>
            <w:noWrap/>
            <w:vAlign w:val="bottom"/>
            <w:hideMark/>
          </w:tcPr>
          <w:p w14:paraId="60590DA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05-009</w:t>
            </w:r>
          </w:p>
        </w:tc>
        <w:tc>
          <w:tcPr>
            <w:tcW w:w="1043" w:type="dxa"/>
            <w:noWrap/>
            <w:vAlign w:val="bottom"/>
            <w:hideMark/>
          </w:tcPr>
          <w:p w14:paraId="536EB0F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5888BF8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1127EA1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12/31/17</w:t>
            </w:r>
          </w:p>
        </w:tc>
        <w:tc>
          <w:tcPr>
            <w:tcW w:w="6629" w:type="dxa"/>
            <w:noWrap/>
            <w:vAlign w:val="bottom"/>
            <w:hideMark/>
          </w:tcPr>
          <w:p w14:paraId="434D5F7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Tribes and IHCP will submit a IHCP planning funds plan for statewide improvement in AI/AN behavioral health</w:t>
            </w:r>
          </w:p>
        </w:tc>
        <w:tc>
          <w:tcPr>
            <w:tcW w:w="781" w:type="dxa"/>
            <w:noWrap/>
            <w:vAlign w:val="bottom"/>
            <w:hideMark/>
          </w:tcPr>
          <w:p w14:paraId="0A53EE3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50E5636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0B22661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547F2A39" w14:textId="77777777" w:rsidTr="00216A10">
        <w:trPr>
          <w:trHeight w:val="300"/>
        </w:trPr>
        <w:tc>
          <w:tcPr>
            <w:tcW w:w="918" w:type="dxa"/>
            <w:noWrap/>
            <w:vAlign w:val="bottom"/>
            <w:hideMark/>
          </w:tcPr>
          <w:p w14:paraId="753C391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05-010</w:t>
            </w:r>
          </w:p>
        </w:tc>
        <w:tc>
          <w:tcPr>
            <w:tcW w:w="1043" w:type="dxa"/>
            <w:noWrap/>
            <w:vAlign w:val="bottom"/>
            <w:hideMark/>
          </w:tcPr>
          <w:p w14:paraId="2266BE6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5AA4801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73D1DA8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54BA2CE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and Tribal governments will consult and collaborate on HIE and PHM activities</w:t>
            </w:r>
          </w:p>
        </w:tc>
        <w:tc>
          <w:tcPr>
            <w:tcW w:w="781" w:type="dxa"/>
            <w:noWrap/>
            <w:vAlign w:val="bottom"/>
            <w:hideMark/>
          </w:tcPr>
          <w:p w14:paraId="0559D0D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Q1</w:t>
            </w:r>
          </w:p>
        </w:tc>
        <w:tc>
          <w:tcPr>
            <w:tcW w:w="1798" w:type="dxa"/>
            <w:noWrap/>
            <w:vAlign w:val="bottom"/>
            <w:hideMark/>
          </w:tcPr>
          <w:p w14:paraId="61ACCA8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3CE2666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7EDF129C" w14:textId="77777777" w:rsidTr="00216A10">
        <w:trPr>
          <w:trHeight w:val="300"/>
        </w:trPr>
        <w:tc>
          <w:tcPr>
            <w:tcW w:w="918" w:type="dxa"/>
            <w:noWrap/>
            <w:vAlign w:val="bottom"/>
            <w:hideMark/>
          </w:tcPr>
          <w:p w14:paraId="2D83BE6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05-011</w:t>
            </w:r>
          </w:p>
        </w:tc>
        <w:tc>
          <w:tcPr>
            <w:tcW w:w="1043" w:type="dxa"/>
            <w:noWrap/>
            <w:vAlign w:val="bottom"/>
            <w:hideMark/>
          </w:tcPr>
          <w:p w14:paraId="322B316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50.00</w:t>
            </w:r>
          </w:p>
        </w:tc>
        <w:tc>
          <w:tcPr>
            <w:tcW w:w="910" w:type="dxa"/>
            <w:noWrap/>
            <w:vAlign w:val="bottom"/>
            <w:hideMark/>
          </w:tcPr>
          <w:p w14:paraId="3E13360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020C7CD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6/30/18</w:t>
            </w:r>
          </w:p>
        </w:tc>
        <w:tc>
          <w:tcPr>
            <w:tcW w:w="6629" w:type="dxa"/>
            <w:noWrap/>
            <w:vAlign w:val="bottom"/>
            <w:hideMark/>
          </w:tcPr>
          <w:p w14:paraId="341D225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and ACHs will identify shared HIT/HIE care coordination tools, funding for HIE tools, and shared contracts/contracting language</w:t>
            </w:r>
          </w:p>
        </w:tc>
        <w:tc>
          <w:tcPr>
            <w:tcW w:w="781" w:type="dxa"/>
            <w:noWrap/>
            <w:vAlign w:val="bottom"/>
            <w:hideMark/>
          </w:tcPr>
          <w:p w14:paraId="5CBB10D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Q2</w:t>
            </w:r>
          </w:p>
        </w:tc>
        <w:tc>
          <w:tcPr>
            <w:tcW w:w="1798" w:type="dxa"/>
            <w:noWrap/>
            <w:vAlign w:val="bottom"/>
            <w:hideMark/>
          </w:tcPr>
          <w:p w14:paraId="0F82D40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Overdue</w:t>
            </w:r>
          </w:p>
        </w:tc>
        <w:tc>
          <w:tcPr>
            <w:tcW w:w="1295" w:type="dxa"/>
            <w:noWrap/>
            <w:vAlign w:val="bottom"/>
            <w:hideMark/>
          </w:tcPr>
          <w:p w14:paraId="290D50B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24A70E59" w14:textId="77777777" w:rsidTr="00216A10">
        <w:trPr>
          <w:trHeight w:val="300"/>
        </w:trPr>
        <w:tc>
          <w:tcPr>
            <w:tcW w:w="918" w:type="dxa"/>
            <w:noWrap/>
            <w:vAlign w:val="bottom"/>
            <w:hideMark/>
          </w:tcPr>
          <w:p w14:paraId="4ED9F47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05-012</w:t>
            </w:r>
          </w:p>
        </w:tc>
        <w:tc>
          <w:tcPr>
            <w:tcW w:w="1043" w:type="dxa"/>
            <w:noWrap/>
            <w:vAlign w:val="bottom"/>
            <w:hideMark/>
          </w:tcPr>
          <w:p w14:paraId="1A845492" w14:textId="40228D16" w:rsidR="007A3BC9" w:rsidRPr="007A3BC9" w:rsidRDefault="00C24C25" w:rsidP="007A3BC9">
            <w:pPr>
              <w:rPr>
                <w:rFonts w:eastAsia="Times New Roman" w:cstheme="minorHAnsi"/>
                <w:sz w:val="20"/>
                <w:szCs w:val="20"/>
              </w:rPr>
            </w:pPr>
            <w:r>
              <w:rPr>
                <w:rFonts w:ascii="Calibri" w:hAnsi="Calibri" w:cs="Calibri"/>
                <w:sz w:val="20"/>
                <w:szCs w:val="20"/>
              </w:rPr>
              <w:t>100</w:t>
            </w:r>
            <w:r w:rsidR="007A3BC9" w:rsidRPr="007A3BC9">
              <w:rPr>
                <w:rFonts w:ascii="Calibri" w:hAnsi="Calibri" w:cs="Calibri"/>
                <w:sz w:val="20"/>
                <w:szCs w:val="20"/>
              </w:rPr>
              <w:t>.00</w:t>
            </w:r>
          </w:p>
        </w:tc>
        <w:tc>
          <w:tcPr>
            <w:tcW w:w="910" w:type="dxa"/>
            <w:noWrap/>
            <w:vAlign w:val="bottom"/>
            <w:hideMark/>
          </w:tcPr>
          <w:p w14:paraId="61AD289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4AFC55D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4D752F0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pursue 10% matching funding to support HIT/HIE assessment activities</w:t>
            </w:r>
          </w:p>
        </w:tc>
        <w:tc>
          <w:tcPr>
            <w:tcW w:w="781" w:type="dxa"/>
            <w:noWrap/>
            <w:vAlign w:val="bottom"/>
            <w:hideMark/>
          </w:tcPr>
          <w:p w14:paraId="239931C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Q1</w:t>
            </w:r>
          </w:p>
        </w:tc>
        <w:tc>
          <w:tcPr>
            <w:tcW w:w="1798" w:type="dxa"/>
            <w:noWrap/>
            <w:vAlign w:val="bottom"/>
            <w:hideMark/>
          </w:tcPr>
          <w:p w14:paraId="47174ECC" w14:textId="5B20E12F" w:rsidR="007A3BC9" w:rsidRPr="007A3BC9" w:rsidRDefault="00C24C25" w:rsidP="007A3BC9">
            <w:pPr>
              <w:rPr>
                <w:rFonts w:eastAsia="Times New Roman" w:cstheme="minorHAnsi"/>
                <w:sz w:val="20"/>
                <w:szCs w:val="20"/>
              </w:rPr>
            </w:pPr>
            <w:r>
              <w:rPr>
                <w:rFonts w:ascii="Calibri" w:hAnsi="Calibri" w:cs="Calibri"/>
                <w:sz w:val="20"/>
                <w:szCs w:val="20"/>
              </w:rPr>
              <w:t>Complete</w:t>
            </w:r>
          </w:p>
        </w:tc>
        <w:tc>
          <w:tcPr>
            <w:tcW w:w="1295" w:type="dxa"/>
            <w:noWrap/>
            <w:vAlign w:val="bottom"/>
            <w:hideMark/>
          </w:tcPr>
          <w:p w14:paraId="6436C81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5CED0302" w14:textId="77777777" w:rsidTr="00216A10">
        <w:trPr>
          <w:trHeight w:val="300"/>
        </w:trPr>
        <w:tc>
          <w:tcPr>
            <w:tcW w:w="918" w:type="dxa"/>
            <w:noWrap/>
            <w:vAlign w:val="bottom"/>
            <w:hideMark/>
          </w:tcPr>
          <w:p w14:paraId="37DE26B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05-013</w:t>
            </w:r>
          </w:p>
        </w:tc>
        <w:tc>
          <w:tcPr>
            <w:tcW w:w="1043" w:type="dxa"/>
            <w:noWrap/>
            <w:vAlign w:val="bottom"/>
            <w:hideMark/>
          </w:tcPr>
          <w:p w14:paraId="607F8DF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1876675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1167654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3/31/18</w:t>
            </w:r>
          </w:p>
        </w:tc>
        <w:tc>
          <w:tcPr>
            <w:tcW w:w="6629" w:type="dxa"/>
            <w:noWrap/>
            <w:vAlign w:val="bottom"/>
            <w:hideMark/>
          </w:tcPr>
          <w:p w14:paraId="46A5F5A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explore CRM tool for ACHs</w:t>
            </w:r>
          </w:p>
        </w:tc>
        <w:tc>
          <w:tcPr>
            <w:tcW w:w="781" w:type="dxa"/>
            <w:noWrap/>
            <w:vAlign w:val="bottom"/>
            <w:hideMark/>
          </w:tcPr>
          <w:p w14:paraId="67CD770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505C61A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031BCF5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35B93646" w14:textId="77777777" w:rsidTr="00216A10">
        <w:trPr>
          <w:trHeight w:val="300"/>
        </w:trPr>
        <w:tc>
          <w:tcPr>
            <w:tcW w:w="918" w:type="dxa"/>
            <w:noWrap/>
            <w:vAlign w:val="bottom"/>
            <w:hideMark/>
          </w:tcPr>
          <w:p w14:paraId="0B99407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05-015</w:t>
            </w:r>
          </w:p>
        </w:tc>
        <w:tc>
          <w:tcPr>
            <w:tcW w:w="1043" w:type="dxa"/>
            <w:noWrap/>
            <w:vAlign w:val="bottom"/>
            <w:hideMark/>
          </w:tcPr>
          <w:p w14:paraId="114BE74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27F58AC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11D8EBC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49D9E6B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design and disseminate a quarterly report by provider and MCO that shows progress in who is using the CDR</w:t>
            </w:r>
          </w:p>
        </w:tc>
        <w:tc>
          <w:tcPr>
            <w:tcW w:w="781" w:type="dxa"/>
            <w:noWrap/>
            <w:vAlign w:val="bottom"/>
            <w:hideMark/>
          </w:tcPr>
          <w:p w14:paraId="4774E7E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6AF05DB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2247C0B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2FBC4AFB" w14:textId="77777777" w:rsidTr="00216A10">
        <w:trPr>
          <w:trHeight w:val="300"/>
        </w:trPr>
        <w:tc>
          <w:tcPr>
            <w:tcW w:w="918" w:type="dxa"/>
            <w:noWrap/>
            <w:vAlign w:val="bottom"/>
            <w:hideMark/>
          </w:tcPr>
          <w:p w14:paraId="1D63F6B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05-016</w:t>
            </w:r>
          </w:p>
        </w:tc>
        <w:tc>
          <w:tcPr>
            <w:tcW w:w="1043" w:type="dxa"/>
            <w:noWrap/>
            <w:vAlign w:val="bottom"/>
            <w:hideMark/>
          </w:tcPr>
          <w:p w14:paraId="1EFBC749" w14:textId="367F298F" w:rsidR="007A3BC9" w:rsidRPr="007A3BC9" w:rsidRDefault="00036675" w:rsidP="007A3BC9">
            <w:pPr>
              <w:rPr>
                <w:rFonts w:eastAsia="Times New Roman" w:cstheme="minorHAnsi"/>
                <w:sz w:val="20"/>
                <w:szCs w:val="20"/>
              </w:rPr>
            </w:pPr>
            <w:r>
              <w:rPr>
                <w:rFonts w:ascii="Calibri" w:hAnsi="Calibri" w:cs="Calibri"/>
                <w:sz w:val="20"/>
                <w:szCs w:val="20"/>
              </w:rPr>
              <w:t>25</w:t>
            </w:r>
            <w:r w:rsidR="007A3BC9" w:rsidRPr="007A3BC9">
              <w:rPr>
                <w:rFonts w:ascii="Calibri" w:hAnsi="Calibri" w:cs="Calibri"/>
                <w:sz w:val="20"/>
                <w:szCs w:val="20"/>
              </w:rPr>
              <w:t>.00</w:t>
            </w:r>
          </w:p>
        </w:tc>
        <w:tc>
          <w:tcPr>
            <w:tcW w:w="910" w:type="dxa"/>
            <w:noWrap/>
            <w:vAlign w:val="bottom"/>
            <w:hideMark/>
          </w:tcPr>
          <w:p w14:paraId="3C18ECF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2347E1C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17AE4B0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convene a clinical group to provide guidance/feedback on the type and format of info in CDR</w:t>
            </w:r>
          </w:p>
        </w:tc>
        <w:tc>
          <w:tcPr>
            <w:tcW w:w="781" w:type="dxa"/>
            <w:noWrap/>
            <w:vAlign w:val="bottom"/>
            <w:hideMark/>
          </w:tcPr>
          <w:p w14:paraId="1481A91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Q2</w:t>
            </w:r>
          </w:p>
        </w:tc>
        <w:tc>
          <w:tcPr>
            <w:tcW w:w="1798" w:type="dxa"/>
            <w:noWrap/>
            <w:vAlign w:val="bottom"/>
            <w:hideMark/>
          </w:tcPr>
          <w:p w14:paraId="4D414EE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5D7D6C9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268BEA6E" w14:textId="77777777" w:rsidTr="00216A10">
        <w:trPr>
          <w:trHeight w:val="300"/>
        </w:trPr>
        <w:tc>
          <w:tcPr>
            <w:tcW w:w="918" w:type="dxa"/>
            <w:noWrap/>
            <w:vAlign w:val="bottom"/>
            <w:hideMark/>
          </w:tcPr>
          <w:p w14:paraId="65953C6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05-017</w:t>
            </w:r>
          </w:p>
        </w:tc>
        <w:tc>
          <w:tcPr>
            <w:tcW w:w="1043" w:type="dxa"/>
            <w:noWrap/>
            <w:vAlign w:val="bottom"/>
            <w:hideMark/>
          </w:tcPr>
          <w:p w14:paraId="293AFE4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75.00</w:t>
            </w:r>
          </w:p>
        </w:tc>
        <w:tc>
          <w:tcPr>
            <w:tcW w:w="910" w:type="dxa"/>
            <w:noWrap/>
            <w:vAlign w:val="bottom"/>
            <w:hideMark/>
          </w:tcPr>
          <w:p w14:paraId="5738DE5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3BB6FB4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75D207A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FHCQ will lead effort to create "high priority" use cases for CDR</w:t>
            </w:r>
          </w:p>
        </w:tc>
        <w:tc>
          <w:tcPr>
            <w:tcW w:w="781" w:type="dxa"/>
            <w:noWrap/>
            <w:vAlign w:val="bottom"/>
            <w:hideMark/>
          </w:tcPr>
          <w:p w14:paraId="157BF14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4EE4DED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3D454C4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67185B14" w14:textId="77777777" w:rsidTr="00216A10">
        <w:trPr>
          <w:trHeight w:val="300"/>
        </w:trPr>
        <w:tc>
          <w:tcPr>
            <w:tcW w:w="918" w:type="dxa"/>
            <w:noWrap/>
            <w:vAlign w:val="bottom"/>
            <w:hideMark/>
          </w:tcPr>
          <w:p w14:paraId="60AD3EF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05-018</w:t>
            </w:r>
          </w:p>
        </w:tc>
        <w:tc>
          <w:tcPr>
            <w:tcW w:w="1043" w:type="dxa"/>
            <w:noWrap/>
            <w:vAlign w:val="bottom"/>
            <w:hideMark/>
          </w:tcPr>
          <w:p w14:paraId="7156AFF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25A8EC0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5C7367A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525BC0A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convene group to prioritize CDR needs to meet the Medicaid transformation</w:t>
            </w:r>
          </w:p>
        </w:tc>
        <w:tc>
          <w:tcPr>
            <w:tcW w:w="781" w:type="dxa"/>
            <w:noWrap/>
            <w:vAlign w:val="bottom"/>
            <w:hideMark/>
          </w:tcPr>
          <w:p w14:paraId="24FB1B8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Q1</w:t>
            </w:r>
          </w:p>
        </w:tc>
        <w:tc>
          <w:tcPr>
            <w:tcW w:w="1798" w:type="dxa"/>
            <w:noWrap/>
            <w:vAlign w:val="bottom"/>
            <w:hideMark/>
          </w:tcPr>
          <w:p w14:paraId="505C588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01BDBD6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02F39B79" w14:textId="77777777" w:rsidTr="00216A10">
        <w:trPr>
          <w:trHeight w:val="300"/>
        </w:trPr>
        <w:tc>
          <w:tcPr>
            <w:tcW w:w="918" w:type="dxa"/>
            <w:noWrap/>
            <w:vAlign w:val="bottom"/>
            <w:hideMark/>
          </w:tcPr>
          <w:p w14:paraId="2C6B0AB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lastRenderedPageBreak/>
              <w:t>05-019</w:t>
            </w:r>
          </w:p>
        </w:tc>
        <w:tc>
          <w:tcPr>
            <w:tcW w:w="1043" w:type="dxa"/>
            <w:noWrap/>
            <w:vAlign w:val="bottom"/>
            <w:hideMark/>
          </w:tcPr>
          <w:p w14:paraId="218740B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5CCB4AD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7E03963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6AA7847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and OHP will develop a catalog of OHP services, provider types registered, and future services</w:t>
            </w:r>
          </w:p>
        </w:tc>
        <w:tc>
          <w:tcPr>
            <w:tcW w:w="781" w:type="dxa"/>
            <w:noWrap/>
            <w:vAlign w:val="bottom"/>
            <w:hideMark/>
          </w:tcPr>
          <w:p w14:paraId="3791AF0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6AF5A68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6D020E8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04EC0450" w14:textId="77777777" w:rsidTr="00216A10">
        <w:trPr>
          <w:trHeight w:val="300"/>
        </w:trPr>
        <w:tc>
          <w:tcPr>
            <w:tcW w:w="918" w:type="dxa"/>
            <w:noWrap/>
            <w:vAlign w:val="bottom"/>
            <w:hideMark/>
          </w:tcPr>
          <w:p w14:paraId="56A0296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05-020</w:t>
            </w:r>
          </w:p>
        </w:tc>
        <w:tc>
          <w:tcPr>
            <w:tcW w:w="1043" w:type="dxa"/>
            <w:noWrap/>
            <w:vAlign w:val="bottom"/>
            <w:hideMark/>
          </w:tcPr>
          <w:p w14:paraId="59603F7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5C6F7ED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3C60CF7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6903391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 xml:space="preserve">HCA will work with OHP to identify EHR tools that do not support </w:t>
            </w:r>
            <w:proofErr w:type="spellStart"/>
            <w:r w:rsidRPr="007A3BC9">
              <w:rPr>
                <w:rFonts w:ascii="Calibri" w:hAnsi="Calibri" w:cs="Calibri"/>
                <w:sz w:val="20"/>
                <w:szCs w:val="20"/>
              </w:rPr>
              <w:t>ProviderOne</w:t>
            </w:r>
            <w:proofErr w:type="spellEnd"/>
            <w:r w:rsidRPr="007A3BC9">
              <w:rPr>
                <w:rFonts w:ascii="Calibri" w:hAnsi="Calibri" w:cs="Calibri"/>
                <w:sz w:val="20"/>
                <w:szCs w:val="20"/>
              </w:rPr>
              <w:t xml:space="preserve"> IDs</w:t>
            </w:r>
          </w:p>
        </w:tc>
        <w:tc>
          <w:tcPr>
            <w:tcW w:w="781" w:type="dxa"/>
            <w:noWrap/>
            <w:vAlign w:val="bottom"/>
            <w:hideMark/>
          </w:tcPr>
          <w:p w14:paraId="3BB2A1D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4EF7979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0B7E3CB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51316A53" w14:textId="77777777" w:rsidTr="00216A10">
        <w:trPr>
          <w:trHeight w:val="300"/>
        </w:trPr>
        <w:tc>
          <w:tcPr>
            <w:tcW w:w="918" w:type="dxa"/>
            <w:noWrap/>
            <w:vAlign w:val="bottom"/>
            <w:hideMark/>
          </w:tcPr>
          <w:p w14:paraId="6D6E1DA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05-021</w:t>
            </w:r>
          </w:p>
        </w:tc>
        <w:tc>
          <w:tcPr>
            <w:tcW w:w="1043" w:type="dxa"/>
            <w:noWrap/>
            <w:vAlign w:val="bottom"/>
            <w:hideMark/>
          </w:tcPr>
          <w:p w14:paraId="34741FB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65F1116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6C36AF6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7/31/18</w:t>
            </w:r>
          </w:p>
        </w:tc>
        <w:tc>
          <w:tcPr>
            <w:tcW w:w="6629" w:type="dxa"/>
            <w:noWrap/>
            <w:vAlign w:val="bottom"/>
            <w:hideMark/>
          </w:tcPr>
          <w:p w14:paraId="08F3173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work with OHP to launch CDR provider portal</w:t>
            </w:r>
          </w:p>
        </w:tc>
        <w:tc>
          <w:tcPr>
            <w:tcW w:w="781" w:type="dxa"/>
            <w:noWrap/>
            <w:vAlign w:val="bottom"/>
            <w:hideMark/>
          </w:tcPr>
          <w:p w14:paraId="70CDB5D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1EC63A2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35B08D8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5F99CC34" w14:textId="77777777" w:rsidTr="00216A10">
        <w:trPr>
          <w:trHeight w:val="300"/>
        </w:trPr>
        <w:tc>
          <w:tcPr>
            <w:tcW w:w="918" w:type="dxa"/>
            <w:noWrap/>
            <w:vAlign w:val="bottom"/>
            <w:hideMark/>
          </w:tcPr>
          <w:p w14:paraId="6FC8D18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05-022</w:t>
            </w:r>
          </w:p>
        </w:tc>
        <w:tc>
          <w:tcPr>
            <w:tcW w:w="1043" w:type="dxa"/>
            <w:noWrap/>
            <w:vAlign w:val="bottom"/>
            <w:hideMark/>
          </w:tcPr>
          <w:p w14:paraId="061B576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61F3D93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10/1/18</w:t>
            </w:r>
          </w:p>
        </w:tc>
        <w:tc>
          <w:tcPr>
            <w:tcW w:w="1016" w:type="dxa"/>
            <w:noWrap/>
            <w:vAlign w:val="bottom"/>
            <w:hideMark/>
          </w:tcPr>
          <w:p w14:paraId="62E0D69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66944C5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consider the need to provide individual level access to health information</w:t>
            </w:r>
          </w:p>
        </w:tc>
        <w:tc>
          <w:tcPr>
            <w:tcW w:w="781" w:type="dxa"/>
            <w:noWrap/>
            <w:vAlign w:val="bottom"/>
            <w:hideMark/>
          </w:tcPr>
          <w:p w14:paraId="6242AE3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3322DF7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No Status</w:t>
            </w:r>
          </w:p>
        </w:tc>
        <w:tc>
          <w:tcPr>
            <w:tcW w:w="1295" w:type="dxa"/>
            <w:noWrap/>
            <w:vAlign w:val="bottom"/>
            <w:hideMark/>
          </w:tcPr>
          <w:p w14:paraId="5BE4478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44E50979" w14:textId="77777777" w:rsidTr="00216A10">
        <w:trPr>
          <w:trHeight w:val="300"/>
        </w:trPr>
        <w:tc>
          <w:tcPr>
            <w:tcW w:w="918" w:type="dxa"/>
            <w:noWrap/>
            <w:vAlign w:val="bottom"/>
            <w:hideMark/>
          </w:tcPr>
          <w:p w14:paraId="2A3BDAE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05-023</w:t>
            </w:r>
          </w:p>
        </w:tc>
        <w:tc>
          <w:tcPr>
            <w:tcW w:w="1043" w:type="dxa"/>
            <w:noWrap/>
            <w:vAlign w:val="bottom"/>
            <w:hideMark/>
          </w:tcPr>
          <w:p w14:paraId="5548CA7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55.00</w:t>
            </w:r>
          </w:p>
        </w:tc>
        <w:tc>
          <w:tcPr>
            <w:tcW w:w="910" w:type="dxa"/>
            <w:noWrap/>
            <w:vAlign w:val="bottom"/>
            <w:hideMark/>
          </w:tcPr>
          <w:p w14:paraId="648C4A8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2/1/18</w:t>
            </w:r>
          </w:p>
        </w:tc>
        <w:tc>
          <w:tcPr>
            <w:tcW w:w="1016" w:type="dxa"/>
            <w:noWrap/>
            <w:vAlign w:val="bottom"/>
            <w:hideMark/>
          </w:tcPr>
          <w:p w14:paraId="75146E0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2BCD802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Monthly TA meetings</w:t>
            </w:r>
          </w:p>
        </w:tc>
        <w:tc>
          <w:tcPr>
            <w:tcW w:w="781" w:type="dxa"/>
            <w:noWrap/>
            <w:vAlign w:val="bottom"/>
            <w:hideMark/>
          </w:tcPr>
          <w:p w14:paraId="05B9EC7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48B1C06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662F6FE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5D708FEB" w14:textId="77777777" w:rsidTr="00216A10">
        <w:trPr>
          <w:trHeight w:val="300"/>
        </w:trPr>
        <w:tc>
          <w:tcPr>
            <w:tcW w:w="918" w:type="dxa"/>
            <w:noWrap/>
            <w:vAlign w:val="bottom"/>
            <w:hideMark/>
          </w:tcPr>
          <w:p w14:paraId="21A939E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05-024</w:t>
            </w:r>
          </w:p>
        </w:tc>
        <w:tc>
          <w:tcPr>
            <w:tcW w:w="1043" w:type="dxa"/>
            <w:noWrap/>
            <w:vAlign w:val="bottom"/>
            <w:hideMark/>
          </w:tcPr>
          <w:p w14:paraId="741F2FAD" w14:textId="6F498B3A" w:rsidR="007A3BC9" w:rsidRPr="007A3BC9" w:rsidRDefault="00D77453" w:rsidP="007A3BC9">
            <w:pPr>
              <w:rPr>
                <w:rFonts w:eastAsia="Times New Roman" w:cstheme="minorHAnsi"/>
                <w:sz w:val="20"/>
                <w:szCs w:val="20"/>
              </w:rPr>
            </w:pPr>
            <w:r>
              <w:rPr>
                <w:rFonts w:ascii="Calibri" w:hAnsi="Calibri" w:cs="Calibri"/>
                <w:sz w:val="20"/>
                <w:szCs w:val="20"/>
              </w:rPr>
              <w:t>100</w:t>
            </w:r>
            <w:r w:rsidR="007A3BC9" w:rsidRPr="007A3BC9">
              <w:rPr>
                <w:rFonts w:ascii="Calibri" w:hAnsi="Calibri" w:cs="Calibri"/>
                <w:sz w:val="20"/>
                <w:szCs w:val="20"/>
              </w:rPr>
              <w:t>.00</w:t>
            </w:r>
          </w:p>
        </w:tc>
        <w:tc>
          <w:tcPr>
            <w:tcW w:w="910" w:type="dxa"/>
            <w:noWrap/>
            <w:vAlign w:val="bottom"/>
            <w:hideMark/>
          </w:tcPr>
          <w:p w14:paraId="6B74FB1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01D20D0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6/30/18</w:t>
            </w:r>
          </w:p>
        </w:tc>
        <w:tc>
          <w:tcPr>
            <w:tcW w:w="6629" w:type="dxa"/>
            <w:noWrap/>
            <w:vAlign w:val="bottom"/>
            <w:hideMark/>
          </w:tcPr>
          <w:p w14:paraId="7249C33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Identify TA topics</w:t>
            </w:r>
          </w:p>
        </w:tc>
        <w:tc>
          <w:tcPr>
            <w:tcW w:w="781" w:type="dxa"/>
            <w:noWrap/>
            <w:vAlign w:val="bottom"/>
            <w:hideMark/>
          </w:tcPr>
          <w:p w14:paraId="12D4003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6A19DF20" w14:textId="27074397" w:rsidR="007A3BC9" w:rsidRPr="007A3BC9" w:rsidRDefault="00D77453" w:rsidP="007A3BC9">
            <w:pPr>
              <w:rPr>
                <w:rFonts w:eastAsia="Times New Roman" w:cstheme="minorHAnsi"/>
                <w:sz w:val="20"/>
                <w:szCs w:val="20"/>
              </w:rPr>
            </w:pPr>
            <w:r>
              <w:rPr>
                <w:rFonts w:ascii="Calibri" w:hAnsi="Calibri" w:cs="Calibri"/>
                <w:sz w:val="20"/>
                <w:szCs w:val="20"/>
              </w:rPr>
              <w:t>Complete</w:t>
            </w:r>
          </w:p>
        </w:tc>
        <w:tc>
          <w:tcPr>
            <w:tcW w:w="1295" w:type="dxa"/>
            <w:noWrap/>
            <w:vAlign w:val="bottom"/>
            <w:hideMark/>
          </w:tcPr>
          <w:p w14:paraId="7D91CCF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6300704E" w14:textId="77777777" w:rsidTr="00216A10">
        <w:trPr>
          <w:trHeight w:val="300"/>
        </w:trPr>
        <w:tc>
          <w:tcPr>
            <w:tcW w:w="918" w:type="dxa"/>
            <w:noWrap/>
            <w:vAlign w:val="bottom"/>
            <w:hideMark/>
          </w:tcPr>
          <w:p w14:paraId="424E1E2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05-025</w:t>
            </w:r>
          </w:p>
        </w:tc>
        <w:tc>
          <w:tcPr>
            <w:tcW w:w="1043" w:type="dxa"/>
            <w:noWrap/>
            <w:vAlign w:val="bottom"/>
            <w:hideMark/>
          </w:tcPr>
          <w:p w14:paraId="49E6F08B" w14:textId="49D7FF90" w:rsidR="007A3BC9" w:rsidRPr="007A3BC9" w:rsidRDefault="00D77453" w:rsidP="007A3BC9">
            <w:pPr>
              <w:rPr>
                <w:rFonts w:eastAsia="Times New Roman" w:cstheme="minorHAnsi"/>
                <w:sz w:val="20"/>
                <w:szCs w:val="20"/>
              </w:rPr>
            </w:pPr>
            <w:r>
              <w:rPr>
                <w:rFonts w:ascii="Calibri" w:hAnsi="Calibri" w:cs="Calibri"/>
                <w:sz w:val="20"/>
                <w:szCs w:val="20"/>
              </w:rPr>
              <w:t>100</w:t>
            </w:r>
            <w:r w:rsidR="007A3BC9" w:rsidRPr="007A3BC9">
              <w:rPr>
                <w:rFonts w:ascii="Calibri" w:hAnsi="Calibri" w:cs="Calibri"/>
                <w:sz w:val="20"/>
                <w:szCs w:val="20"/>
              </w:rPr>
              <w:t>.00</w:t>
            </w:r>
          </w:p>
        </w:tc>
        <w:tc>
          <w:tcPr>
            <w:tcW w:w="910" w:type="dxa"/>
            <w:noWrap/>
            <w:vAlign w:val="bottom"/>
            <w:hideMark/>
          </w:tcPr>
          <w:p w14:paraId="3BA6D77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0AA3E6D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6/30/18</w:t>
            </w:r>
          </w:p>
        </w:tc>
        <w:tc>
          <w:tcPr>
            <w:tcW w:w="6629" w:type="dxa"/>
            <w:noWrap/>
            <w:vAlign w:val="bottom"/>
            <w:hideMark/>
          </w:tcPr>
          <w:p w14:paraId="4CDA8E7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Determine TA activities by QUALIS</w:t>
            </w:r>
          </w:p>
        </w:tc>
        <w:tc>
          <w:tcPr>
            <w:tcW w:w="781" w:type="dxa"/>
            <w:noWrap/>
            <w:vAlign w:val="bottom"/>
            <w:hideMark/>
          </w:tcPr>
          <w:p w14:paraId="7797F09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1AF706F7" w14:textId="49950DAE" w:rsidR="007A3BC9" w:rsidRPr="007A3BC9" w:rsidRDefault="00D77453" w:rsidP="007A3BC9">
            <w:pPr>
              <w:rPr>
                <w:rFonts w:eastAsia="Times New Roman" w:cstheme="minorHAnsi"/>
                <w:sz w:val="20"/>
                <w:szCs w:val="20"/>
              </w:rPr>
            </w:pPr>
            <w:r>
              <w:rPr>
                <w:rFonts w:ascii="Calibri" w:hAnsi="Calibri" w:cs="Calibri"/>
                <w:sz w:val="20"/>
                <w:szCs w:val="20"/>
              </w:rPr>
              <w:t>Complete</w:t>
            </w:r>
          </w:p>
        </w:tc>
        <w:tc>
          <w:tcPr>
            <w:tcW w:w="1295" w:type="dxa"/>
            <w:noWrap/>
            <w:vAlign w:val="bottom"/>
            <w:hideMark/>
          </w:tcPr>
          <w:p w14:paraId="11D2E74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2D0C077C" w14:textId="77777777" w:rsidTr="00216A10">
        <w:trPr>
          <w:trHeight w:val="300"/>
        </w:trPr>
        <w:tc>
          <w:tcPr>
            <w:tcW w:w="918" w:type="dxa"/>
            <w:noWrap/>
            <w:vAlign w:val="bottom"/>
            <w:hideMark/>
          </w:tcPr>
          <w:p w14:paraId="22E1396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05-026</w:t>
            </w:r>
          </w:p>
        </w:tc>
        <w:tc>
          <w:tcPr>
            <w:tcW w:w="1043" w:type="dxa"/>
            <w:noWrap/>
            <w:vAlign w:val="bottom"/>
            <w:hideMark/>
          </w:tcPr>
          <w:p w14:paraId="3564E35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7A71504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6822647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0A747EE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consider needs to implement alternative TA and training support models to assist providers</w:t>
            </w:r>
          </w:p>
        </w:tc>
        <w:tc>
          <w:tcPr>
            <w:tcW w:w="781" w:type="dxa"/>
            <w:noWrap/>
            <w:vAlign w:val="bottom"/>
            <w:hideMark/>
          </w:tcPr>
          <w:p w14:paraId="3234FF5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363498E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1AD9B54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16D33BE1" w14:textId="77777777" w:rsidTr="00216A10">
        <w:trPr>
          <w:trHeight w:val="300"/>
        </w:trPr>
        <w:tc>
          <w:tcPr>
            <w:tcW w:w="918" w:type="dxa"/>
            <w:noWrap/>
            <w:vAlign w:val="bottom"/>
            <w:hideMark/>
          </w:tcPr>
          <w:p w14:paraId="4187FDB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05-027</w:t>
            </w:r>
          </w:p>
        </w:tc>
        <w:tc>
          <w:tcPr>
            <w:tcW w:w="1043" w:type="dxa"/>
            <w:noWrap/>
            <w:vAlign w:val="bottom"/>
            <w:hideMark/>
          </w:tcPr>
          <w:p w14:paraId="191CE48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04786F8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1B5B6F6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1DCC8DD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and ACHs will explore engaging private philanthropic organizations</w:t>
            </w:r>
          </w:p>
        </w:tc>
        <w:tc>
          <w:tcPr>
            <w:tcW w:w="781" w:type="dxa"/>
            <w:noWrap/>
            <w:vAlign w:val="bottom"/>
            <w:hideMark/>
          </w:tcPr>
          <w:p w14:paraId="4B6A546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4934274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70D42D1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429A8DAB" w14:textId="77777777" w:rsidTr="00216A10">
        <w:trPr>
          <w:trHeight w:val="300"/>
        </w:trPr>
        <w:tc>
          <w:tcPr>
            <w:tcW w:w="918" w:type="dxa"/>
            <w:noWrap/>
            <w:vAlign w:val="bottom"/>
            <w:hideMark/>
          </w:tcPr>
          <w:p w14:paraId="40ACDCE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05-028</w:t>
            </w:r>
          </w:p>
        </w:tc>
        <w:tc>
          <w:tcPr>
            <w:tcW w:w="1043" w:type="dxa"/>
            <w:noWrap/>
            <w:vAlign w:val="bottom"/>
            <w:hideMark/>
          </w:tcPr>
          <w:p w14:paraId="42A3BCF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1E96612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0A18BDF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723CDFE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annual HIT/HIE roadshow</w:t>
            </w:r>
          </w:p>
        </w:tc>
        <w:tc>
          <w:tcPr>
            <w:tcW w:w="781" w:type="dxa"/>
            <w:noWrap/>
            <w:vAlign w:val="bottom"/>
            <w:hideMark/>
          </w:tcPr>
          <w:p w14:paraId="2465C68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Q2</w:t>
            </w:r>
          </w:p>
        </w:tc>
        <w:tc>
          <w:tcPr>
            <w:tcW w:w="1798" w:type="dxa"/>
            <w:noWrap/>
            <w:vAlign w:val="bottom"/>
            <w:hideMark/>
          </w:tcPr>
          <w:p w14:paraId="6F7F0D5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782F1DE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79A8EEF7" w14:textId="77777777" w:rsidTr="00216A10">
        <w:trPr>
          <w:trHeight w:val="300"/>
        </w:trPr>
        <w:tc>
          <w:tcPr>
            <w:tcW w:w="918" w:type="dxa"/>
            <w:noWrap/>
            <w:vAlign w:val="bottom"/>
            <w:hideMark/>
          </w:tcPr>
          <w:p w14:paraId="3E39AAD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05-029</w:t>
            </w:r>
          </w:p>
        </w:tc>
        <w:tc>
          <w:tcPr>
            <w:tcW w:w="1043" w:type="dxa"/>
            <w:noWrap/>
            <w:vAlign w:val="bottom"/>
            <w:hideMark/>
          </w:tcPr>
          <w:p w14:paraId="455CE70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181701D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45AE148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425587A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Contract for white paper describing best security practices for HIT/HIE</w:t>
            </w:r>
          </w:p>
        </w:tc>
        <w:tc>
          <w:tcPr>
            <w:tcW w:w="781" w:type="dxa"/>
            <w:noWrap/>
            <w:vAlign w:val="bottom"/>
            <w:hideMark/>
          </w:tcPr>
          <w:p w14:paraId="664310D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Q2</w:t>
            </w:r>
          </w:p>
        </w:tc>
        <w:tc>
          <w:tcPr>
            <w:tcW w:w="1798" w:type="dxa"/>
            <w:noWrap/>
            <w:vAlign w:val="bottom"/>
            <w:hideMark/>
          </w:tcPr>
          <w:p w14:paraId="35EA519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7948D1E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31A7AB36" w14:textId="77777777" w:rsidTr="00216A10">
        <w:trPr>
          <w:trHeight w:val="300"/>
        </w:trPr>
        <w:tc>
          <w:tcPr>
            <w:tcW w:w="918" w:type="dxa"/>
            <w:noWrap/>
            <w:vAlign w:val="bottom"/>
            <w:hideMark/>
          </w:tcPr>
          <w:p w14:paraId="60E4838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lastRenderedPageBreak/>
              <w:t>05-030</w:t>
            </w:r>
          </w:p>
        </w:tc>
        <w:tc>
          <w:tcPr>
            <w:tcW w:w="1043" w:type="dxa"/>
            <w:noWrap/>
            <w:vAlign w:val="bottom"/>
            <w:hideMark/>
          </w:tcPr>
          <w:p w14:paraId="3996870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5EC68E6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0251D91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1903034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Disseminate security practices white paper</w:t>
            </w:r>
          </w:p>
        </w:tc>
        <w:tc>
          <w:tcPr>
            <w:tcW w:w="781" w:type="dxa"/>
            <w:noWrap/>
            <w:vAlign w:val="bottom"/>
            <w:hideMark/>
          </w:tcPr>
          <w:p w14:paraId="23A0A6A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65268E4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132C9D9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4D0A859C" w14:textId="77777777" w:rsidTr="00216A10">
        <w:trPr>
          <w:trHeight w:val="300"/>
        </w:trPr>
        <w:tc>
          <w:tcPr>
            <w:tcW w:w="918" w:type="dxa"/>
            <w:noWrap/>
            <w:vAlign w:val="bottom"/>
            <w:hideMark/>
          </w:tcPr>
          <w:p w14:paraId="0860174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05-031</w:t>
            </w:r>
          </w:p>
        </w:tc>
        <w:tc>
          <w:tcPr>
            <w:tcW w:w="1043" w:type="dxa"/>
            <w:noWrap/>
            <w:vAlign w:val="bottom"/>
            <w:hideMark/>
          </w:tcPr>
          <w:p w14:paraId="6969BE6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18BA7DC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4578785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39AD5FC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Identify performance measures related to adoption of HIT/HIE</w:t>
            </w:r>
          </w:p>
        </w:tc>
        <w:tc>
          <w:tcPr>
            <w:tcW w:w="781" w:type="dxa"/>
            <w:noWrap/>
            <w:vAlign w:val="bottom"/>
            <w:hideMark/>
          </w:tcPr>
          <w:p w14:paraId="4B40E5C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13BD01B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54F81A0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6AA5B711" w14:textId="77777777" w:rsidTr="00216A10">
        <w:trPr>
          <w:trHeight w:val="300"/>
        </w:trPr>
        <w:tc>
          <w:tcPr>
            <w:tcW w:w="918" w:type="dxa"/>
            <w:noWrap/>
            <w:vAlign w:val="bottom"/>
            <w:hideMark/>
          </w:tcPr>
          <w:p w14:paraId="27B4851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05-032</w:t>
            </w:r>
          </w:p>
        </w:tc>
        <w:tc>
          <w:tcPr>
            <w:tcW w:w="1043" w:type="dxa"/>
            <w:noWrap/>
            <w:vAlign w:val="bottom"/>
            <w:hideMark/>
          </w:tcPr>
          <w:p w14:paraId="5361BD6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67AB3B2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2F085BB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6EB38FE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Share HIT/HIE performance measures with independent evaluator</w:t>
            </w:r>
          </w:p>
        </w:tc>
        <w:tc>
          <w:tcPr>
            <w:tcW w:w="781" w:type="dxa"/>
            <w:noWrap/>
            <w:vAlign w:val="bottom"/>
            <w:hideMark/>
          </w:tcPr>
          <w:p w14:paraId="79A4D75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43E58AC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5808F4D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67D6D6F8" w14:textId="77777777" w:rsidTr="00216A10">
        <w:trPr>
          <w:trHeight w:val="300"/>
        </w:trPr>
        <w:tc>
          <w:tcPr>
            <w:tcW w:w="918" w:type="dxa"/>
            <w:noWrap/>
            <w:vAlign w:val="bottom"/>
            <w:hideMark/>
          </w:tcPr>
          <w:p w14:paraId="726CF4A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05-033</w:t>
            </w:r>
          </w:p>
        </w:tc>
        <w:tc>
          <w:tcPr>
            <w:tcW w:w="1043" w:type="dxa"/>
            <w:noWrap/>
            <w:vAlign w:val="bottom"/>
            <w:hideMark/>
          </w:tcPr>
          <w:p w14:paraId="58F2463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617D8C5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287ED5C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24DD09A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Disseminate performance measures</w:t>
            </w:r>
          </w:p>
        </w:tc>
        <w:tc>
          <w:tcPr>
            <w:tcW w:w="781" w:type="dxa"/>
            <w:noWrap/>
            <w:vAlign w:val="bottom"/>
            <w:hideMark/>
          </w:tcPr>
          <w:p w14:paraId="4EC7AF3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5D98EA1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4E59D89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43AABD6E" w14:textId="77777777" w:rsidTr="00216A10">
        <w:trPr>
          <w:trHeight w:val="300"/>
        </w:trPr>
        <w:tc>
          <w:tcPr>
            <w:tcW w:w="918" w:type="dxa"/>
            <w:noWrap/>
            <w:vAlign w:val="bottom"/>
            <w:hideMark/>
          </w:tcPr>
          <w:p w14:paraId="3801D83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05-034</w:t>
            </w:r>
          </w:p>
        </w:tc>
        <w:tc>
          <w:tcPr>
            <w:tcW w:w="1043" w:type="dxa"/>
            <w:noWrap/>
            <w:vAlign w:val="bottom"/>
            <w:hideMark/>
          </w:tcPr>
          <w:p w14:paraId="39CF791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67651E0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2D3EC97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9/30/18</w:t>
            </w:r>
          </w:p>
        </w:tc>
        <w:tc>
          <w:tcPr>
            <w:tcW w:w="6629" w:type="dxa"/>
            <w:noWrap/>
            <w:vAlign w:val="bottom"/>
            <w:hideMark/>
          </w:tcPr>
          <w:p w14:paraId="5CC4A86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explore methods with MCOs to encourage provider use of HIE technologies</w:t>
            </w:r>
          </w:p>
        </w:tc>
        <w:tc>
          <w:tcPr>
            <w:tcW w:w="781" w:type="dxa"/>
            <w:noWrap/>
            <w:vAlign w:val="bottom"/>
            <w:hideMark/>
          </w:tcPr>
          <w:p w14:paraId="7F7DA27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11CF167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509D755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48CE3F7A" w14:textId="77777777" w:rsidTr="00216A10">
        <w:trPr>
          <w:trHeight w:val="300"/>
        </w:trPr>
        <w:tc>
          <w:tcPr>
            <w:tcW w:w="918" w:type="dxa"/>
            <w:noWrap/>
            <w:vAlign w:val="bottom"/>
            <w:hideMark/>
          </w:tcPr>
          <w:p w14:paraId="0831FB5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05-035</w:t>
            </w:r>
          </w:p>
        </w:tc>
        <w:tc>
          <w:tcPr>
            <w:tcW w:w="1043" w:type="dxa"/>
            <w:noWrap/>
            <w:vAlign w:val="bottom"/>
            <w:hideMark/>
          </w:tcPr>
          <w:p w14:paraId="0084961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797EEDD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1577F44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35E327A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compile and disseminate contact list</w:t>
            </w:r>
          </w:p>
        </w:tc>
        <w:tc>
          <w:tcPr>
            <w:tcW w:w="781" w:type="dxa"/>
            <w:noWrap/>
            <w:vAlign w:val="bottom"/>
            <w:hideMark/>
          </w:tcPr>
          <w:p w14:paraId="66740B2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0CDDA65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2E4283F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6D5E2DA8" w14:textId="77777777" w:rsidTr="00216A10">
        <w:trPr>
          <w:trHeight w:val="300"/>
        </w:trPr>
        <w:tc>
          <w:tcPr>
            <w:tcW w:w="918" w:type="dxa"/>
            <w:noWrap/>
            <w:vAlign w:val="bottom"/>
            <w:hideMark/>
          </w:tcPr>
          <w:p w14:paraId="2B65F87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05-036</w:t>
            </w:r>
          </w:p>
        </w:tc>
        <w:tc>
          <w:tcPr>
            <w:tcW w:w="1043" w:type="dxa"/>
            <w:noWrap/>
            <w:vAlign w:val="bottom"/>
            <w:hideMark/>
          </w:tcPr>
          <w:p w14:paraId="01FAFD6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50.00</w:t>
            </w:r>
          </w:p>
        </w:tc>
        <w:tc>
          <w:tcPr>
            <w:tcW w:w="910" w:type="dxa"/>
            <w:noWrap/>
            <w:vAlign w:val="bottom"/>
            <w:hideMark/>
          </w:tcPr>
          <w:p w14:paraId="14D8F78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2/3/18</w:t>
            </w:r>
          </w:p>
        </w:tc>
        <w:tc>
          <w:tcPr>
            <w:tcW w:w="1016" w:type="dxa"/>
            <w:noWrap/>
            <w:vAlign w:val="bottom"/>
            <w:hideMark/>
          </w:tcPr>
          <w:p w14:paraId="629D6B2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4C23EDD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ONC quarterly updates</w:t>
            </w:r>
          </w:p>
        </w:tc>
        <w:tc>
          <w:tcPr>
            <w:tcW w:w="781" w:type="dxa"/>
            <w:noWrap/>
            <w:vAlign w:val="bottom"/>
            <w:hideMark/>
          </w:tcPr>
          <w:p w14:paraId="1967251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2505FB9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7191470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624892C5" w14:textId="77777777" w:rsidTr="00216A10">
        <w:trPr>
          <w:trHeight w:val="300"/>
        </w:trPr>
        <w:tc>
          <w:tcPr>
            <w:tcW w:w="918" w:type="dxa"/>
            <w:noWrap/>
            <w:vAlign w:val="bottom"/>
            <w:hideMark/>
          </w:tcPr>
          <w:p w14:paraId="510A71B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05-037</w:t>
            </w:r>
          </w:p>
        </w:tc>
        <w:tc>
          <w:tcPr>
            <w:tcW w:w="1043" w:type="dxa"/>
            <w:noWrap/>
            <w:vAlign w:val="bottom"/>
            <w:hideMark/>
          </w:tcPr>
          <w:p w14:paraId="18B8E0F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8.00</w:t>
            </w:r>
          </w:p>
        </w:tc>
        <w:tc>
          <w:tcPr>
            <w:tcW w:w="910" w:type="dxa"/>
            <w:noWrap/>
            <w:vAlign w:val="bottom"/>
            <w:hideMark/>
          </w:tcPr>
          <w:p w14:paraId="079BC7D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7E4D4D1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7693D6C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Reporting to Federal Government</w:t>
            </w:r>
          </w:p>
        </w:tc>
        <w:tc>
          <w:tcPr>
            <w:tcW w:w="781" w:type="dxa"/>
            <w:noWrap/>
            <w:vAlign w:val="bottom"/>
            <w:hideMark/>
          </w:tcPr>
          <w:p w14:paraId="20A385B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3C4D3C8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7A17133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HIT/Health Information Exchange</w:t>
            </w:r>
          </w:p>
        </w:tc>
      </w:tr>
      <w:tr w:rsidR="007A3BC9" w:rsidRPr="00E13A47" w14:paraId="2EC702A1" w14:textId="77777777" w:rsidTr="00216A10">
        <w:trPr>
          <w:trHeight w:val="300"/>
        </w:trPr>
        <w:tc>
          <w:tcPr>
            <w:tcW w:w="918" w:type="dxa"/>
            <w:noWrap/>
            <w:vAlign w:val="bottom"/>
            <w:hideMark/>
          </w:tcPr>
          <w:p w14:paraId="15338A8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06-001</w:t>
            </w:r>
          </w:p>
        </w:tc>
        <w:tc>
          <w:tcPr>
            <w:tcW w:w="1043" w:type="dxa"/>
            <w:noWrap/>
            <w:vAlign w:val="bottom"/>
            <w:hideMark/>
          </w:tcPr>
          <w:p w14:paraId="7556134A" w14:textId="47CC6CD3" w:rsidR="007A3BC9" w:rsidRPr="007A3BC9" w:rsidRDefault="00D77453" w:rsidP="007A3BC9">
            <w:pPr>
              <w:rPr>
                <w:rFonts w:eastAsia="Times New Roman" w:cstheme="minorHAnsi"/>
                <w:sz w:val="20"/>
                <w:szCs w:val="20"/>
              </w:rPr>
            </w:pPr>
            <w:r>
              <w:rPr>
                <w:rFonts w:ascii="Calibri" w:hAnsi="Calibri" w:cs="Calibri"/>
                <w:sz w:val="20"/>
                <w:szCs w:val="20"/>
              </w:rPr>
              <w:t>100</w:t>
            </w:r>
            <w:r w:rsidR="007A3BC9" w:rsidRPr="007A3BC9">
              <w:rPr>
                <w:rFonts w:ascii="Calibri" w:hAnsi="Calibri" w:cs="Calibri"/>
                <w:sz w:val="20"/>
                <w:szCs w:val="20"/>
              </w:rPr>
              <w:t>.00</w:t>
            </w:r>
          </w:p>
        </w:tc>
        <w:tc>
          <w:tcPr>
            <w:tcW w:w="910" w:type="dxa"/>
            <w:noWrap/>
            <w:vAlign w:val="bottom"/>
            <w:hideMark/>
          </w:tcPr>
          <w:p w14:paraId="022EEB3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5D02045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6/30/18</w:t>
            </w:r>
          </w:p>
        </w:tc>
        <w:tc>
          <w:tcPr>
            <w:tcW w:w="6629" w:type="dxa"/>
            <w:noWrap/>
            <w:vAlign w:val="bottom"/>
            <w:hideMark/>
          </w:tcPr>
          <w:p w14:paraId="316CED9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identify 90/10 funding sources</w:t>
            </w:r>
          </w:p>
        </w:tc>
        <w:tc>
          <w:tcPr>
            <w:tcW w:w="781" w:type="dxa"/>
            <w:noWrap/>
            <w:vAlign w:val="bottom"/>
            <w:hideMark/>
          </w:tcPr>
          <w:p w14:paraId="3AE2EFD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2F17602C" w14:textId="5111CC6F" w:rsidR="007A3BC9" w:rsidRPr="007A3BC9" w:rsidRDefault="00D77453" w:rsidP="007A3BC9">
            <w:pPr>
              <w:rPr>
                <w:rFonts w:eastAsia="Times New Roman" w:cstheme="minorHAnsi"/>
                <w:sz w:val="20"/>
                <w:szCs w:val="20"/>
              </w:rPr>
            </w:pPr>
            <w:r>
              <w:rPr>
                <w:rFonts w:ascii="Calibri" w:hAnsi="Calibri" w:cs="Calibri"/>
                <w:sz w:val="20"/>
                <w:szCs w:val="20"/>
              </w:rPr>
              <w:t>Complete</w:t>
            </w:r>
          </w:p>
        </w:tc>
        <w:tc>
          <w:tcPr>
            <w:tcW w:w="1295" w:type="dxa"/>
            <w:noWrap/>
            <w:vAlign w:val="bottom"/>
            <w:hideMark/>
          </w:tcPr>
          <w:p w14:paraId="2ED14EC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Financing</w:t>
            </w:r>
          </w:p>
        </w:tc>
      </w:tr>
      <w:tr w:rsidR="007A3BC9" w:rsidRPr="00E13A47" w14:paraId="6ADB995D" w14:textId="77777777" w:rsidTr="00216A10">
        <w:trPr>
          <w:trHeight w:val="300"/>
        </w:trPr>
        <w:tc>
          <w:tcPr>
            <w:tcW w:w="918" w:type="dxa"/>
            <w:noWrap/>
            <w:vAlign w:val="bottom"/>
            <w:hideMark/>
          </w:tcPr>
          <w:p w14:paraId="23BC9D0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06-002</w:t>
            </w:r>
          </w:p>
        </w:tc>
        <w:tc>
          <w:tcPr>
            <w:tcW w:w="1043" w:type="dxa"/>
            <w:noWrap/>
            <w:vAlign w:val="bottom"/>
            <w:hideMark/>
          </w:tcPr>
          <w:p w14:paraId="15E0D46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13.00</w:t>
            </w:r>
          </w:p>
        </w:tc>
        <w:tc>
          <w:tcPr>
            <w:tcW w:w="910" w:type="dxa"/>
            <w:noWrap/>
            <w:vAlign w:val="bottom"/>
            <w:hideMark/>
          </w:tcPr>
          <w:p w14:paraId="6D4182D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0544F22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410BAF9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pursue funding sources  to meet HIT needs</w:t>
            </w:r>
          </w:p>
        </w:tc>
        <w:tc>
          <w:tcPr>
            <w:tcW w:w="781" w:type="dxa"/>
            <w:noWrap/>
            <w:vAlign w:val="bottom"/>
            <w:hideMark/>
          </w:tcPr>
          <w:p w14:paraId="785C2EB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0379DE4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7552217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Financing</w:t>
            </w:r>
          </w:p>
        </w:tc>
      </w:tr>
      <w:tr w:rsidR="007A3BC9" w:rsidRPr="00E13A47" w14:paraId="3D45179C" w14:textId="77777777" w:rsidTr="00216A10">
        <w:trPr>
          <w:trHeight w:val="300"/>
        </w:trPr>
        <w:tc>
          <w:tcPr>
            <w:tcW w:w="918" w:type="dxa"/>
            <w:noWrap/>
            <w:vAlign w:val="bottom"/>
            <w:hideMark/>
          </w:tcPr>
          <w:p w14:paraId="059786C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06-002</w:t>
            </w:r>
          </w:p>
        </w:tc>
        <w:tc>
          <w:tcPr>
            <w:tcW w:w="1043" w:type="dxa"/>
            <w:noWrap/>
            <w:vAlign w:val="bottom"/>
            <w:hideMark/>
          </w:tcPr>
          <w:p w14:paraId="211AAC8E" w14:textId="52AF1DE3" w:rsidR="007A3BC9" w:rsidRPr="007A3BC9" w:rsidRDefault="00D77453" w:rsidP="007A3BC9">
            <w:pPr>
              <w:rPr>
                <w:rFonts w:eastAsia="Times New Roman" w:cstheme="minorHAnsi"/>
                <w:sz w:val="20"/>
                <w:szCs w:val="20"/>
              </w:rPr>
            </w:pPr>
            <w:r>
              <w:rPr>
                <w:rFonts w:ascii="Calibri" w:hAnsi="Calibri" w:cs="Calibri"/>
                <w:sz w:val="20"/>
                <w:szCs w:val="20"/>
              </w:rPr>
              <w:t>100</w:t>
            </w:r>
            <w:r w:rsidR="007A3BC9" w:rsidRPr="007A3BC9">
              <w:rPr>
                <w:rFonts w:ascii="Calibri" w:hAnsi="Calibri" w:cs="Calibri"/>
                <w:sz w:val="20"/>
                <w:szCs w:val="20"/>
              </w:rPr>
              <w:t>.00</w:t>
            </w:r>
          </w:p>
        </w:tc>
        <w:tc>
          <w:tcPr>
            <w:tcW w:w="910" w:type="dxa"/>
            <w:noWrap/>
            <w:vAlign w:val="bottom"/>
            <w:hideMark/>
          </w:tcPr>
          <w:p w14:paraId="175A8DC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07FD6B4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6/30/18</w:t>
            </w:r>
          </w:p>
        </w:tc>
        <w:tc>
          <w:tcPr>
            <w:tcW w:w="6629" w:type="dxa"/>
            <w:noWrap/>
            <w:vAlign w:val="bottom"/>
            <w:hideMark/>
          </w:tcPr>
          <w:p w14:paraId="200A2D4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seek federal guidance on 10% match</w:t>
            </w:r>
          </w:p>
        </w:tc>
        <w:tc>
          <w:tcPr>
            <w:tcW w:w="781" w:type="dxa"/>
            <w:noWrap/>
            <w:vAlign w:val="bottom"/>
            <w:hideMark/>
          </w:tcPr>
          <w:p w14:paraId="4178FC5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5975DB91" w14:textId="08863355" w:rsidR="007A3BC9" w:rsidRPr="007A3BC9" w:rsidRDefault="00D77453" w:rsidP="007A3BC9">
            <w:pPr>
              <w:rPr>
                <w:rFonts w:eastAsia="Times New Roman" w:cstheme="minorHAnsi"/>
                <w:sz w:val="20"/>
                <w:szCs w:val="20"/>
              </w:rPr>
            </w:pPr>
            <w:r>
              <w:rPr>
                <w:rFonts w:ascii="Calibri" w:hAnsi="Calibri" w:cs="Calibri"/>
                <w:sz w:val="20"/>
                <w:szCs w:val="20"/>
              </w:rPr>
              <w:t>Complete</w:t>
            </w:r>
          </w:p>
        </w:tc>
        <w:tc>
          <w:tcPr>
            <w:tcW w:w="1295" w:type="dxa"/>
            <w:noWrap/>
            <w:vAlign w:val="bottom"/>
            <w:hideMark/>
          </w:tcPr>
          <w:p w14:paraId="19751F7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Financing</w:t>
            </w:r>
          </w:p>
        </w:tc>
      </w:tr>
      <w:tr w:rsidR="007A3BC9" w:rsidRPr="00E13A47" w14:paraId="2F62DA05" w14:textId="77777777" w:rsidTr="00216A10">
        <w:trPr>
          <w:trHeight w:val="300"/>
        </w:trPr>
        <w:tc>
          <w:tcPr>
            <w:tcW w:w="918" w:type="dxa"/>
            <w:noWrap/>
            <w:vAlign w:val="bottom"/>
            <w:hideMark/>
          </w:tcPr>
          <w:p w14:paraId="1EA78D6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06-003</w:t>
            </w:r>
          </w:p>
        </w:tc>
        <w:tc>
          <w:tcPr>
            <w:tcW w:w="1043" w:type="dxa"/>
            <w:noWrap/>
            <w:vAlign w:val="bottom"/>
            <w:hideMark/>
          </w:tcPr>
          <w:p w14:paraId="1CE9223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36D2FB8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5708A94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025237C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actively explore opportunities to leverage 90/10 match</w:t>
            </w:r>
          </w:p>
        </w:tc>
        <w:tc>
          <w:tcPr>
            <w:tcW w:w="781" w:type="dxa"/>
            <w:noWrap/>
            <w:vAlign w:val="bottom"/>
            <w:hideMark/>
          </w:tcPr>
          <w:p w14:paraId="2733596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77F9015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26B6017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Financing</w:t>
            </w:r>
          </w:p>
        </w:tc>
      </w:tr>
      <w:tr w:rsidR="007A3BC9" w:rsidRPr="00E13A47" w14:paraId="1E771C0C" w14:textId="77777777" w:rsidTr="00216A10">
        <w:trPr>
          <w:trHeight w:val="300"/>
        </w:trPr>
        <w:tc>
          <w:tcPr>
            <w:tcW w:w="918" w:type="dxa"/>
            <w:noWrap/>
            <w:vAlign w:val="bottom"/>
            <w:hideMark/>
          </w:tcPr>
          <w:p w14:paraId="7E52B69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06-004</w:t>
            </w:r>
          </w:p>
        </w:tc>
        <w:tc>
          <w:tcPr>
            <w:tcW w:w="1043" w:type="dxa"/>
            <w:noWrap/>
            <w:vAlign w:val="bottom"/>
            <w:hideMark/>
          </w:tcPr>
          <w:p w14:paraId="4634020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543F409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199D4CC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42972E0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If needed identify a leg. Strategy</w:t>
            </w:r>
          </w:p>
        </w:tc>
        <w:tc>
          <w:tcPr>
            <w:tcW w:w="781" w:type="dxa"/>
            <w:noWrap/>
            <w:vAlign w:val="bottom"/>
            <w:hideMark/>
          </w:tcPr>
          <w:p w14:paraId="3CCEBF0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Q2</w:t>
            </w:r>
          </w:p>
        </w:tc>
        <w:tc>
          <w:tcPr>
            <w:tcW w:w="1798" w:type="dxa"/>
            <w:noWrap/>
            <w:vAlign w:val="bottom"/>
            <w:hideMark/>
          </w:tcPr>
          <w:p w14:paraId="6283579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63C52DB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Financing</w:t>
            </w:r>
          </w:p>
        </w:tc>
      </w:tr>
      <w:tr w:rsidR="007A3BC9" w:rsidRPr="00E13A47" w14:paraId="4B87462A" w14:textId="77777777" w:rsidTr="00216A10">
        <w:trPr>
          <w:trHeight w:val="300"/>
        </w:trPr>
        <w:tc>
          <w:tcPr>
            <w:tcW w:w="918" w:type="dxa"/>
            <w:noWrap/>
            <w:vAlign w:val="bottom"/>
            <w:hideMark/>
          </w:tcPr>
          <w:p w14:paraId="5A7BC10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06-005</w:t>
            </w:r>
          </w:p>
        </w:tc>
        <w:tc>
          <w:tcPr>
            <w:tcW w:w="1043" w:type="dxa"/>
            <w:noWrap/>
            <w:vAlign w:val="bottom"/>
            <w:hideMark/>
          </w:tcPr>
          <w:p w14:paraId="58A97DD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794C84F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4/1/18</w:t>
            </w:r>
          </w:p>
        </w:tc>
        <w:tc>
          <w:tcPr>
            <w:tcW w:w="1016" w:type="dxa"/>
            <w:noWrap/>
            <w:vAlign w:val="bottom"/>
            <w:hideMark/>
          </w:tcPr>
          <w:p w14:paraId="0795702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0AFCC7E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identify opportunities for shared HIT financial investments</w:t>
            </w:r>
          </w:p>
        </w:tc>
        <w:tc>
          <w:tcPr>
            <w:tcW w:w="781" w:type="dxa"/>
            <w:noWrap/>
            <w:vAlign w:val="bottom"/>
            <w:hideMark/>
          </w:tcPr>
          <w:p w14:paraId="1E8E088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49E985B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1EBCC96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Financing</w:t>
            </w:r>
          </w:p>
        </w:tc>
      </w:tr>
      <w:tr w:rsidR="007A3BC9" w:rsidRPr="00E13A47" w14:paraId="05427790" w14:textId="77777777" w:rsidTr="00216A10">
        <w:trPr>
          <w:trHeight w:val="300"/>
        </w:trPr>
        <w:tc>
          <w:tcPr>
            <w:tcW w:w="918" w:type="dxa"/>
            <w:noWrap/>
            <w:vAlign w:val="bottom"/>
            <w:hideMark/>
          </w:tcPr>
          <w:p w14:paraId="1F9B999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06-006</w:t>
            </w:r>
          </w:p>
        </w:tc>
        <w:tc>
          <w:tcPr>
            <w:tcW w:w="1043" w:type="dxa"/>
            <w:noWrap/>
            <w:vAlign w:val="bottom"/>
            <w:hideMark/>
          </w:tcPr>
          <w:p w14:paraId="2F610C8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39297CF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07ACE4B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0ECFA63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support identified funding requests</w:t>
            </w:r>
          </w:p>
        </w:tc>
        <w:tc>
          <w:tcPr>
            <w:tcW w:w="781" w:type="dxa"/>
            <w:noWrap/>
            <w:vAlign w:val="bottom"/>
            <w:hideMark/>
          </w:tcPr>
          <w:p w14:paraId="4F283C0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Q2</w:t>
            </w:r>
          </w:p>
        </w:tc>
        <w:tc>
          <w:tcPr>
            <w:tcW w:w="1798" w:type="dxa"/>
            <w:noWrap/>
            <w:vAlign w:val="bottom"/>
            <w:hideMark/>
          </w:tcPr>
          <w:p w14:paraId="5593032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03EBB9C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Financing</w:t>
            </w:r>
          </w:p>
        </w:tc>
      </w:tr>
      <w:tr w:rsidR="007A3BC9" w:rsidRPr="00E13A47" w14:paraId="30A8086D" w14:textId="77777777" w:rsidTr="00216A10">
        <w:trPr>
          <w:trHeight w:val="300"/>
        </w:trPr>
        <w:tc>
          <w:tcPr>
            <w:tcW w:w="918" w:type="dxa"/>
            <w:noWrap/>
            <w:vAlign w:val="bottom"/>
            <w:hideMark/>
          </w:tcPr>
          <w:p w14:paraId="61F17D3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06-007</w:t>
            </w:r>
          </w:p>
        </w:tc>
        <w:tc>
          <w:tcPr>
            <w:tcW w:w="1043" w:type="dxa"/>
            <w:noWrap/>
            <w:vAlign w:val="bottom"/>
            <w:hideMark/>
          </w:tcPr>
          <w:p w14:paraId="085E9AA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305EC39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3E816A8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6/30/18</w:t>
            </w:r>
          </w:p>
        </w:tc>
        <w:tc>
          <w:tcPr>
            <w:tcW w:w="6629" w:type="dxa"/>
            <w:noWrap/>
            <w:vAlign w:val="bottom"/>
            <w:hideMark/>
          </w:tcPr>
          <w:p w14:paraId="05E11A4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procure Fraud Abuse Detection  System tools for EDW</w:t>
            </w:r>
          </w:p>
        </w:tc>
        <w:tc>
          <w:tcPr>
            <w:tcW w:w="781" w:type="dxa"/>
            <w:noWrap/>
            <w:vAlign w:val="bottom"/>
            <w:hideMark/>
          </w:tcPr>
          <w:p w14:paraId="27BB0AF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4D9F628B" w14:textId="67028B3B" w:rsidR="007A3BC9" w:rsidRPr="007A3BC9" w:rsidRDefault="00D77453" w:rsidP="007A3BC9">
            <w:pPr>
              <w:rPr>
                <w:rFonts w:eastAsia="Times New Roman" w:cstheme="minorHAnsi"/>
                <w:sz w:val="20"/>
                <w:szCs w:val="20"/>
              </w:rPr>
            </w:pPr>
            <w:r>
              <w:rPr>
                <w:rFonts w:ascii="Calibri" w:hAnsi="Calibri" w:cs="Calibri"/>
                <w:sz w:val="20"/>
                <w:szCs w:val="20"/>
              </w:rPr>
              <w:t>In Process</w:t>
            </w:r>
          </w:p>
        </w:tc>
        <w:tc>
          <w:tcPr>
            <w:tcW w:w="1295" w:type="dxa"/>
            <w:noWrap/>
            <w:vAlign w:val="bottom"/>
            <w:hideMark/>
          </w:tcPr>
          <w:p w14:paraId="769441A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Financing</w:t>
            </w:r>
          </w:p>
        </w:tc>
      </w:tr>
      <w:tr w:rsidR="007A3BC9" w:rsidRPr="00E13A47" w14:paraId="2175FB0F" w14:textId="77777777" w:rsidTr="00216A10">
        <w:trPr>
          <w:trHeight w:val="300"/>
        </w:trPr>
        <w:tc>
          <w:tcPr>
            <w:tcW w:w="918" w:type="dxa"/>
            <w:noWrap/>
            <w:vAlign w:val="bottom"/>
            <w:hideMark/>
          </w:tcPr>
          <w:p w14:paraId="3958063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lastRenderedPageBreak/>
              <w:t>07-001</w:t>
            </w:r>
          </w:p>
        </w:tc>
        <w:tc>
          <w:tcPr>
            <w:tcW w:w="1043" w:type="dxa"/>
            <w:noWrap/>
            <w:vAlign w:val="bottom"/>
            <w:hideMark/>
          </w:tcPr>
          <w:p w14:paraId="00F2D31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7E9980F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1/1/18</w:t>
            </w:r>
          </w:p>
        </w:tc>
        <w:tc>
          <w:tcPr>
            <w:tcW w:w="1016" w:type="dxa"/>
            <w:noWrap/>
            <w:vAlign w:val="bottom"/>
            <w:hideMark/>
          </w:tcPr>
          <w:p w14:paraId="61F5222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6/30/18</w:t>
            </w:r>
          </w:p>
        </w:tc>
        <w:tc>
          <w:tcPr>
            <w:tcW w:w="6629" w:type="dxa"/>
            <w:noWrap/>
            <w:vAlign w:val="bottom"/>
            <w:hideMark/>
          </w:tcPr>
          <w:p w14:paraId="142C0DC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discuss options and authority to advance Master patient identifier</w:t>
            </w:r>
          </w:p>
        </w:tc>
        <w:tc>
          <w:tcPr>
            <w:tcW w:w="781" w:type="dxa"/>
            <w:noWrap/>
            <w:vAlign w:val="bottom"/>
            <w:hideMark/>
          </w:tcPr>
          <w:p w14:paraId="791A774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075F61D3" w14:textId="5FDC0AED" w:rsidR="007A3BC9" w:rsidRPr="007A3BC9" w:rsidRDefault="00D77453" w:rsidP="007A3BC9">
            <w:pPr>
              <w:rPr>
                <w:rFonts w:eastAsia="Times New Roman" w:cstheme="minorHAnsi"/>
                <w:sz w:val="20"/>
                <w:szCs w:val="20"/>
              </w:rPr>
            </w:pPr>
            <w:r>
              <w:rPr>
                <w:rFonts w:ascii="Calibri" w:hAnsi="Calibri" w:cs="Calibri"/>
                <w:sz w:val="20"/>
                <w:szCs w:val="20"/>
              </w:rPr>
              <w:t>In Process</w:t>
            </w:r>
          </w:p>
        </w:tc>
        <w:tc>
          <w:tcPr>
            <w:tcW w:w="1295" w:type="dxa"/>
            <w:noWrap/>
            <w:vAlign w:val="bottom"/>
            <w:hideMark/>
          </w:tcPr>
          <w:p w14:paraId="71388C9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Master Person Identifier</w:t>
            </w:r>
          </w:p>
        </w:tc>
      </w:tr>
      <w:tr w:rsidR="007A3BC9" w:rsidRPr="00E13A47" w14:paraId="370833D1" w14:textId="77777777" w:rsidTr="00216A10">
        <w:trPr>
          <w:trHeight w:val="300"/>
        </w:trPr>
        <w:tc>
          <w:tcPr>
            <w:tcW w:w="918" w:type="dxa"/>
            <w:noWrap/>
            <w:vAlign w:val="bottom"/>
            <w:hideMark/>
          </w:tcPr>
          <w:p w14:paraId="462D3A8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07-002</w:t>
            </w:r>
          </w:p>
        </w:tc>
        <w:tc>
          <w:tcPr>
            <w:tcW w:w="1043" w:type="dxa"/>
            <w:noWrap/>
            <w:vAlign w:val="bottom"/>
            <w:hideMark/>
          </w:tcPr>
          <w:p w14:paraId="502A285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7C5AD51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10/1/18</w:t>
            </w:r>
          </w:p>
        </w:tc>
        <w:tc>
          <w:tcPr>
            <w:tcW w:w="1016" w:type="dxa"/>
            <w:noWrap/>
            <w:vAlign w:val="bottom"/>
            <w:hideMark/>
          </w:tcPr>
          <w:p w14:paraId="43ADCFB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7E074D3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If appropriate, HCA will pursue 90/10 funding to implement master patient identifier</w:t>
            </w:r>
          </w:p>
        </w:tc>
        <w:tc>
          <w:tcPr>
            <w:tcW w:w="781" w:type="dxa"/>
            <w:noWrap/>
            <w:vAlign w:val="bottom"/>
            <w:hideMark/>
          </w:tcPr>
          <w:p w14:paraId="792A22B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60831B3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No Status</w:t>
            </w:r>
          </w:p>
        </w:tc>
        <w:tc>
          <w:tcPr>
            <w:tcW w:w="1295" w:type="dxa"/>
            <w:noWrap/>
            <w:vAlign w:val="bottom"/>
            <w:hideMark/>
          </w:tcPr>
          <w:p w14:paraId="20B7677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Master Person Identifier</w:t>
            </w:r>
          </w:p>
        </w:tc>
      </w:tr>
      <w:tr w:rsidR="007A3BC9" w:rsidRPr="00E13A47" w14:paraId="31DF3E88" w14:textId="77777777" w:rsidTr="00216A10">
        <w:trPr>
          <w:trHeight w:val="300"/>
        </w:trPr>
        <w:tc>
          <w:tcPr>
            <w:tcW w:w="918" w:type="dxa"/>
            <w:noWrap/>
            <w:vAlign w:val="bottom"/>
            <w:hideMark/>
          </w:tcPr>
          <w:p w14:paraId="50B8A3A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08-001</w:t>
            </w:r>
          </w:p>
        </w:tc>
        <w:tc>
          <w:tcPr>
            <w:tcW w:w="1043" w:type="dxa"/>
            <w:noWrap/>
            <w:vAlign w:val="bottom"/>
            <w:hideMark/>
          </w:tcPr>
          <w:p w14:paraId="566A34F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62.00</w:t>
            </w:r>
          </w:p>
        </w:tc>
        <w:tc>
          <w:tcPr>
            <w:tcW w:w="910" w:type="dxa"/>
            <w:noWrap/>
            <w:vAlign w:val="bottom"/>
            <w:hideMark/>
          </w:tcPr>
          <w:p w14:paraId="43800ED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22C6907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36A12C2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Determine feasibility of using 90/10 funding for provider directory tasks</w:t>
            </w:r>
          </w:p>
        </w:tc>
        <w:tc>
          <w:tcPr>
            <w:tcW w:w="781" w:type="dxa"/>
            <w:noWrap/>
            <w:vAlign w:val="bottom"/>
            <w:hideMark/>
          </w:tcPr>
          <w:p w14:paraId="6028995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10901E3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03E2E10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Provider Directory</w:t>
            </w:r>
          </w:p>
        </w:tc>
      </w:tr>
      <w:tr w:rsidR="007A3BC9" w:rsidRPr="00E13A47" w14:paraId="2F010AFF" w14:textId="77777777" w:rsidTr="00216A10">
        <w:trPr>
          <w:trHeight w:val="300"/>
        </w:trPr>
        <w:tc>
          <w:tcPr>
            <w:tcW w:w="918" w:type="dxa"/>
            <w:noWrap/>
            <w:vAlign w:val="bottom"/>
            <w:hideMark/>
          </w:tcPr>
          <w:p w14:paraId="5C6EA65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08-002</w:t>
            </w:r>
          </w:p>
        </w:tc>
        <w:tc>
          <w:tcPr>
            <w:tcW w:w="1043" w:type="dxa"/>
            <w:noWrap/>
            <w:vAlign w:val="bottom"/>
            <w:hideMark/>
          </w:tcPr>
          <w:p w14:paraId="1BF06DF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71B84B9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10/1/17</w:t>
            </w:r>
          </w:p>
        </w:tc>
        <w:tc>
          <w:tcPr>
            <w:tcW w:w="1016" w:type="dxa"/>
            <w:noWrap/>
            <w:vAlign w:val="bottom"/>
            <w:hideMark/>
          </w:tcPr>
          <w:p w14:paraId="4638C10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7/31/18</w:t>
            </w:r>
          </w:p>
        </w:tc>
        <w:tc>
          <w:tcPr>
            <w:tcW w:w="6629" w:type="dxa"/>
            <w:noWrap/>
            <w:vAlign w:val="bottom"/>
            <w:hideMark/>
          </w:tcPr>
          <w:p w14:paraId="0A5266B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 xml:space="preserve">Consider enhancements to current provider license interface with </w:t>
            </w:r>
            <w:proofErr w:type="spellStart"/>
            <w:r w:rsidRPr="007A3BC9">
              <w:rPr>
                <w:rFonts w:ascii="Calibri" w:hAnsi="Calibri" w:cs="Calibri"/>
                <w:sz w:val="20"/>
                <w:szCs w:val="20"/>
              </w:rPr>
              <w:t>ProviderOne</w:t>
            </w:r>
            <w:proofErr w:type="spellEnd"/>
          </w:p>
        </w:tc>
        <w:tc>
          <w:tcPr>
            <w:tcW w:w="781" w:type="dxa"/>
            <w:noWrap/>
            <w:vAlign w:val="bottom"/>
            <w:hideMark/>
          </w:tcPr>
          <w:p w14:paraId="163C2CC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Q2</w:t>
            </w:r>
          </w:p>
        </w:tc>
        <w:tc>
          <w:tcPr>
            <w:tcW w:w="1798" w:type="dxa"/>
            <w:noWrap/>
            <w:vAlign w:val="bottom"/>
            <w:hideMark/>
          </w:tcPr>
          <w:p w14:paraId="1D8F09D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1379496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Provider Directory</w:t>
            </w:r>
          </w:p>
        </w:tc>
      </w:tr>
      <w:tr w:rsidR="007A3BC9" w:rsidRPr="00E13A47" w14:paraId="6D51BBFB" w14:textId="77777777" w:rsidTr="00216A10">
        <w:trPr>
          <w:trHeight w:val="300"/>
        </w:trPr>
        <w:tc>
          <w:tcPr>
            <w:tcW w:w="918" w:type="dxa"/>
            <w:noWrap/>
            <w:vAlign w:val="bottom"/>
            <w:hideMark/>
          </w:tcPr>
          <w:p w14:paraId="560F9CA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08-003</w:t>
            </w:r>
          </w:p>
        </w:tc>
        <w:tc>
          <w:tcPr>
            <w:tcW w:w="1043" w:type="dxa"/>
            <w:noWrap/>
            <w:vAlign w:val="bottom"/>
            <w:hideMark/>
          </w:tcPr>
          <w:p w14:paraId="2FFA49A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43.00</w:t>
            </w:r>
          </w:p>
        </w:tc>
        <w:tc>
          <w:tcPr>
            <w:tcW w:w="910" w:type="dxa"/>
            <w:noWrap/>
            <w:vAlign w:val="bottom"/>
            <w:hideMark/>
          </w:tcPr>
          <w:p w14:paraId="2FE7627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5AB9DCF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275F49E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identify provider directory use cases</w:t>
            </w:r>
          </w:p>
        </w:tc>
        <w:tc>
          <w:tcPr>
            <w:tcW w:w="781" w:type="dxa"/>
            <w:noWrap/>
            <w:vAlign w:val="bottom"/>
            <w:hideMark/>
          </w:tcPr>
          <w:p w14:paraId="0DA3BA2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Q2</w:t>
            </w:r>
          </w:p>
        </w:tc>
        <w:tc>
          <w:tcPr>
            <w:tcW w:w="1798" w:type="dxa"/>
            <w:noWrap/>
            <w:vAlign w:val="bottom"/>
            <w:hideMark/>
          </w:tcPr>
          <w:p w14:paraId="5D2A293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357BE6C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Provider Directory</w:t>
            </w:r>
          </w:p>
        </w:tc>
      </w:tr>
      <w:tr w:rsidR="007A3BC9" w:rsidRPr="00E13A47" w14:paraId="7955883D" w14:textId="77777777" w:rsidTr="00216A10">
        <w:trPr>
          <w:trHeight w:val="300"/>
        </w:trPr>
        <w:tc>
          <w:tcPr>
            <w:tcW w:w="918" w:type="dxa"/>
            <w:noWrap/>
            <w:vAlign w:val="bottom"/>
            <w:hideMark/>
          </w:tcPr>
          <w:p w14:paraId="73A57BE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08-003</w:t>
            </w:r>
          </w:p>
        </w:tc>
        <w:tc>
          <w:tcPr>
            <w:tcW w:w="1043" w:type="dxa"/>
            <w:noWrap/>
            <w:vAlign w:val="bottom"/>
            <w:hideMark/>
          </w:tcPr>
          <w:p w14:paraId="2E8F202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43D1BD9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6063AEA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6B31656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Master Data Management provider files from Truven have been created</w:t>
            </w:r>
          </w:p>
        </w:tc>
        <w:tc>
          <w:tcPr>
            <w:tcW w:w="781" w:type="dxa"/>
            <w:noWrap/>
            <w:vAlign w:val="bottom"/>
            <w:hideMark/>
          </w:tcPr>
          <w:p w14:paraId="610D48C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55AF263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3B59A68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Provider Directory</w:t>
            </w:r>
          </w:p>
        </w:tc>
      </w:tr>
      <w:tr w:rsidR="007A3BC9" w:rsidRPr="00E13A47" w14:paraId="262283AC" w14:textId="77777777" w:rsidTr="00216A10">
        <w:trPr>
          <w:trHeight w:val="300"/>
        </w:trPr>
        <w:tc>
          <w:tcPr>
            <w:tcW w:w="918" w:type="dxa"/>
            <w:noWrap/>
            <w:vAlign w:val="bottom"/>
            <w:hideMark/>
          </w:tcPr>
          <w:p w14:paraId="6158832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08-003</w:t>
            </w:r>
          </w:p>
        </w:tc>
        <w:tc>
          <w:tcPr>
            <w:tcW w:w="1043" w:type="dxa"/>
            <w:noWrap/>
            <w:vAlign w:val="bottom"/>
            <w:hideMark/>
          </w:tcPr>
          <w:p w14:paraId="1BAC0D5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32898A5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618D187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7CF0D73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Procured list of PCPs</w:t>
            </w:r>
          </w:p>
        </w:tc>
        <w:tc>
          <w:tcPr>
            <w:tcW w:w="781" w:type="dxa"/>
            <w:noWrap/>
            <w:vAlign w:val="bottom"/>
            <w:hideMark/>
          </w:tcPr>
          <w:p w14:paraId="3E7E0D9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04DCFA6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2C7F2E5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Provider Directory</w:t>
            </w:r>
          </w:p>
        </w:tc>
      </w:tr>
      <w:tr w:rsidR="007A3BC9" w:rsidRPr="00E13A47" w14:paraId="339B9ED8" w14:textId="77777777" w:rsidTr="00216A10">
        <w:trPr>
          <w:trHeight w:val="300"/>
        </w:trPr>
        <w:tc>
          <w:tcPr>
            <w:tcW w:w="918" w:type="dxa"/>
            <w:noWrap/>
            <w:vAlign w:val="bottom"/>
            <w:hideMark/>
          </w:tcPr>
          <w:p w14:paraId="152227D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08-003</w:t>
            </w:r>
          </w:p>
        </w:tc>
        <w:tc>
          <w:tcPr>
            <w:tcW w:w="1043" w:type="dxa"/>
            <w:noWrap/>
            <w:vAlign w:val="bottom"/>
            <w:hideMark/>
          </w:tcPr>
          <w:p w14:paraId="5A5E379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100.00</w:t>
            </w:r>
          </w:p>
        </w:tc>
        <w:tc>
          <w:tcPr>
            <w:tcW w:w="910" w:type="dxa"/>
            <w:noWrap/>
            <w:vAlign w:val="bottom"/>
            <w:hideMark/>
          </w:tcPr>
          <w:p w14:paraId="6B87A4A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4DC54E4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2557B92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Cat 1 Provider data files in Excel form are available to ACHs in box.com</w:t>
            </w:r>
          </w:p>
        </w:tc>
        <w:tc>
          <w:tcPr>
            <w:tcW w:w="781" w:type="dxa"/>
            <w:noWrap/>
            <w:vAlign w:val="bottom"/>
            <w:hideMark/>
          </w:tcPr>
          <w:p w14:paraId="3166E71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Q3</w:t>
            </w:r>
          </w:p>
        </w:tc>
        <w:tc>
          <w:tcPr>
            <w:tcW w:w="1798" w:type="dxa"/>
            <w:noWrap/>
            <w:vAlign w:val="bottom"/>
            <w:hideMark/>
          </w:tcPr>
          <w:p w14:paraId="53BBE94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w:t>
            </w:r>
          </w:p>
        </w:tc>
        <w:tc>
          <w:tcPr>
            <w:tcW w:w="1295" w:type="dxa"/>
            <w:noWrap/>
            <w:vAlign w:val="bottom"/>
            <w:hideMark/>
          </w:tcPr>
          <w:p w14:paraId="6AF0D15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Provider Directory</w:t>
            </w:r>
          </w:p>
        </w:tc>
      </w:tr>
      <w:tr w:rsidR="007A3BC9" w:rsidRPr="00E13A47" w14:paraId="26039C37" w14:textId="77777777" w:rsidTr="00216A10">
        <w:trPr>
          <w:trHeight w:val="300"/>
        </w:trPr>
        <w:tc>
          <w:tcPr>
            <w:tcW w:w="918" w:type="dxa"/>
            <w:noWrap/>
            <w:vAlign w:val="bottom"/>
            <w:hideMark/>
          </w:tcPr>
          <w:p w14:paraId="74298CC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08-003</w:t>
            </w:r>
          </w:p>
        </w:tc>
        <w:tc>
          <w:tcPr>
            <w:tcW w:w="1043" w:type="dxa"/>
            <w:noWrap/>
            <w:vAlign w:val="bottom"/>
            <w:hideMark/>
          </w:tcPr>
          <w:p w14:paraId="790A6CA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1FF6617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4A06BBC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7F5E59B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Determine resources to complete the tasks</w:t>
            </w:r>
          </w:p>
        </w:tc>
        <w:tc>
          <w:tcPr>
            <w:tcW w:w="781" w:type="dxa"/>
            <w:noWrap/>
            <w:vAlign w:val="bottom"/>
            <w:hideMark/>
          </w:tcPr>
          <w:p w14:paraId="61A4C9E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09E35A1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7204321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Provider Directory</w:t>
            </w:r>
          </w:p>
        </w:tc>
      </w:tr>
      <w:tr w:rsidR="007A3BC9" w:rsidRPr="00E13A47" w14:paraId="0B2C9DB1" w14:textId="77777777" w:rsidTr="00216A10">
        <w:trPr>
          <w:trHeight w:val="300"/>
        </w:trPr>
        <w:tc>
          <w:tcPr>
            <w:tcW w:w="918" w:type="dxa"/>
            <w:noWrap/>
            <w:vAlign w:val="bottom"/>
            <w:hideMark/>
          </w:tcPr>
          <w:p w14:paraId="738CB26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08-003</w:t>
            </w:r>
          </w:p>
        </w:tc>
        <w:tc>
          <w:tcPr>
            <w:tcW w:w="1043" w:type="dxa"/>
            <w:noWrap/>
            <w:vAlign w:val="bottom"/>
            <w:hideMark/>
          </w:tcPr>
          <w:p w14:paraId="77A63EF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3FCA604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51DC2F7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0716313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Developing understanding of what is available in the Master Data Management</w:t>
            </w:r>
          </w:p>
        </w:tc>
        <w:tc>
          <w:tcPr>
            <w:tcW w:w="781" w:type="dxa"/>
            <w:noWrap/>
            <w:vAlign w:val="bottom"/>
            <w:hideMark/>
          </w:tcPr>
          <w:p w14:paraId="7969DE6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6D86A2D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6122B2A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Provider Directory</w:t>
            </w:r>
          </w:p>
        </w:tc>
      </w:tr>
      <w:tr w:rsidR="007A3BC9" w:rsidRPr="00E13A47" w14:paraId="264409C0" w14:textId="77777777" w:rsidTr="00216A10">
        <w:trPr>
          <w:trHeight w:val="300"/>
        </w:trPr>
        <w:tc>
          <w:tcPr>
            <w:tcW w:w="918" w:type="dxa"/>
            <w:noWrap/>
            <w:vAlign w:val="bottom"/>
            <w:hideMark/>
          </w:tcPr>
          <w:p w14:paraId="49AA4DCA"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08-003</w:t>
            </w:r>
          </w:p>
        </w:tc>
        <w:tc>
          <w:tcPr>
            <w:tcW w:w="1043" w:type="dxa"/>
            <w:noWrap/>
            <w:vAlign w:val="bottom"/>
            <w:hideMark/>
          </w:tcPr>
          <w:p w14:paraId="25772AF5"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67B7B40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0D830F4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77EE8F6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Complete Dashboard using the provider data file for the ACHs</w:t>
            </w:r>
          </w:p>
        </w:tc>
        <w:tc>
          <w:tcPr>
            <w:tcW w:w="781" w:type="dxa"/>
            <w:noWrap/>
            <w:vAlign w:val="bottom"/>
            <w:hideMark/>
          </w:tcPr>
          <w:p w14:paraId="1600567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2602947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4C063C4C"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Provider Directory</w:t>
            </w:r>
          </w:p>
        </w:tc>
      </w:tr>
      <w:tr w:rsidR="007A3BC9" w:rsidRPr="00E13A47" w14:paraId="75A6BB65" w14:textId="77777777" w:rsidTr="00216A10">
        <w:trPr>
          <w:trHeight w:val="300"/>
        </w:trPr>
        <w:tc>
          <w:tcPr>
            <w:tcW w:w="918" w:type="dxa"/>
            <w:noWrap/>
            <w:vAlign w:val="bottom"/>
            <w:hideMark/>
          </w:tcPr>
          <w:p w14:paraId="1B36D1E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08-003</w:t>
            </w:r>
          </w:p>
        </w:tc>
        <w:tc>
          <w:tcPr>
            <w:tcW w:w="1043" w:type="dxa"/>
            <w:noWrap/>
            <w:vAlign w:val="bottom"/>
            <w:hideMark/>
          </w:tcPr>
          <w:p w14:paraId="212086B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77DD83A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0810A81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020C342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Communicate availability of the Cat 1 provider files</w:t>
            </w:r>
          </w:p>
        </w:tc>
        <w:tc>
          <w:tcPr>
            <w:tcW w:w="781" w:type="dxa"/>
            <w:noWrap/>
            <w:vAlign w:val="bottom"/>
            <w:hideMark/>
          </w:tcPr>
          <w:p w14:paraId="293A44F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3B748E6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0188BC2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Provider Directory</w:t>
            </w:r>
          </w:p>
        </w:tc>
      </w:tr>
      <w:tr w:rsidR="007A3BC9" w:rsidRPr="00E13A47" w14:paraId="1149EBD7" w14:textId="77777777" w:rsidTr="00216A10">
        <w:trPr>
          <w:trHeight w:val="300"/>
        </w:trPr>
        <w:tc>
          <w:tcPr>
            <w:tcW w:w="918" w:type="dxa"/>
            <w:noWrap/>
            <w:vAlign w:val="bottom"/>
            <w:hideMark/>
          </w:tcPr>
          <w:p w14:paraId="186FF75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09-001</w:t>
            </w:r>
          </w:p>
        </w:tc>
        <w:tc>
          <w:tcPr>
            <w:tcW w:w="1043" w:type="dxa"/>
            <w:noWrap/>
            <w:vAlign w:val="bottom"/>
            <w:hideMark/>
          </w:tcPr>
          <w:p w14:paraId="1A71C94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1A42C95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7/1/18</w:t>
            </w:r>
          </w:p>
        </w:tc>
        <w:tc>
          <w:tcPr>
            <w:tcW w:w="1016" w:type="dxa"/>
            <w:noWrap/>
            <w:vAlign w:val="bottom"/>
            <w:hideMark/>
          </w:tcPr>
          <w:p w14:paraId="0F32B259"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26F0CC7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will present to leadership approaches for displaying P4P measures and means to explore sub-populations</w:t>
            </w:r>
          </w:p>
        </w:tc>
        <w:tc>
          <w:tcPr>
            <w:tcW w:w="781" w:type="dxa"/>
            <w:noWrap/>
            <w:vAlign w:val="bottom"/>
            <w:hideMark/>
          </w:tcPr>
          <w:p w14:paraId="7EE09352"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0880A36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4A0A8981"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Visualization</w:t>
            </w:r>
          </w:p>
        </w:tc>
      </w:tr>
      <w:tr w:rsidR="007A3BC9" w:rsidRPr="00E13A47" w14:paraId="29CEBCDB" w14:textId="77777777" w:rsidTr="00216A10">
        <w:trPr>
          <w:trHeight w:val="300"/>
        </w:trPr>
        <w:tc>
          <w:tcPr>
            <w:tcW w:w="918" w:type="dxa"/>
            <w:noWrap/>
            <w:vAlign w:val="bottom"/>
            <w:hideMark/>
          </w:tcPr>
          <w:p w14:paraId="5BE93FA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09-002</w:t>
            </w:r>
          </w:p>
        </w:tc>
        <w:tc>
          <w:tcPr>
            <w:tcW w:w="1043" w:type="dxa"/>
            <w:noWrap/>
            <w:vAlign w:val="bottom"/>
            <w:hideMark/>
          </w:tcPr>
          <w:p w14:paraId="1E3B5AA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0.00</w:t>
            </w:r>
          </w:p>
        </w:tc>
        <w:tc>
          <w:tcPr>
            <w:tcW w:w="910" w:type="dxa"/>
            <w:noWrap/>
            <w:vAlign w:val="bottom"/>
            <w:hideMark/>
          </w:tcPr>
          <w:p w14:paraId="6612B8D3"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10/1/18</w:t>
            </w:r>
          </w:p>
        </w:tc>
        <w:tc>
          <w:tcPr>
            <w:tcW w:w="1016" w:type="dxa"/>
            <w:noWrap/>
            <w:vAlign w:val="bottom"/>
            <w:hideMark/>
          </w:tcPr>
          <w:p w14:paraId="77495AE7"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54315178"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HCA (if appropriate) will determine costs of data visualization and identify funding sources</w:t>
            </w:r>
          </w:p>
        </w:tc>
        <w:tc>
          <w:tcPr>
            <w:tcW w:w="781" w:type="dxa"/>
            <w:noWrap/>
            <w:vAlign w:val="bottom"/>
            <w:hideMark/>
          </w:tcPr>
          <w:p w14:paraId="030F44A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7BCAAA1D"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No Status</w:t>
            </w:r>
          </w:p>
        </w:tc>
        <w:tc>
          <w:tcPr>
            <w:tcW w:w="1295" w:type="dxa"/>
            <w:noWrap/>
            <w:vAlign w:val="bottom"/>
            <w:hideMark/>
          </w:tcPr>
          <w:p w14:paraId="28ED11C0"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Data Visualization</w:t>
            </w:r>
          </w:p>
        </w:tc>
      </w:tr>
      <w:tr w:rsidR="007A3BC9" w:rsidRPr="00E13A47" w14:paraId="157C29A2" w14:textId="77777777" w:rsidTr="00216A10">
        <w:trPr>
          <w:trHeight w:val="300"/>
        </w:trPr>
        <w:tc>
          <w:tcPr>
            <w:tcW w:w="918" w:type="dxa"/>
            <w:noWrap/>
            <w:vAlign w:val="bottom"/>
            <w:hideMark/>
          </w:tcPr>
          <w:p w14:paraId="7B2FE9A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10-001</w:t>
            </w:r>
          </w:p>
        </w:tc>
        <w:tc>
          <w:tcPr>
            <w:tcW w:w="1043" w:type="dxa"/>
            <w:noWrap/>
            <w:vAlign w:val="bottom"/>
            <w:hideMark/>
          </w:tcPr>
          <w:p w14:paraId="7824CD6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83.00</w:t>
            </w:r>
          </w:p>
        </w:tc>
        <w:tc>
          <w:tcPr>
            <w:tcW w:w="910" w:type="dxa"/>
            <w:noWrap/>
            <w:vAlign w:val="bottom"/>
            <w:hideMark/>
          </w:tcPr>
          <w:p w14:paraId="36E8680B"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2/1/18</w:t>
            </w:r>
          </w:p>
        </w:tc>
        <w:tc>
          <w:tcPr>
            <w:tcW w:w="1016" w:type="dxa"/>
            <w:noWrap/>
            <w:vAlign w:val="bottom"/>
            <w:hideMark/>
          </w:tcPr>
          <w:p w14:paraId="0CEC4B6F"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12/31/18</w:t>
            </w:r>
          </w:p>
        </w:tc>
        <w:tc>
          <w:tcPr>
            <w:tcW w:w="6629" w:type="dxa"/>
            <w:noWrap/>
            <w:vAlign w:val="bottom"/>
            <w:hideMark/>
          </w:tcPr>
          <w:p w14:paraId="6016A83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An independent evaluation of Health IT/HIE activities will be conducted in accordance with evaluation protocol</w:t>
            </w:r>
          </w:p>
        </w:tc>
        <w:tc>
          <w:tcPr>
            <w:tcW w:w="781" w:type="dxa"/>
            <w:noWrap/>
            <w:vAlign w:val="bottom"/>
            <w:hideMark/>
          </w:tcPr>
          <w:p w14:paraId="603FCCA6"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Q4</w:t>
            </w:r>
          </w:p>
        </w:tc>
        <w:tc>
          <w:tcPr>
            <w:tcW w:w="1798" w:type="dxa"/>
            <w:noWrap/>
            <w:vAlign w:val="bottom"/>
            <w:hideMark/>
          </w:tcPr>
          <w:p w14:paraId="0A9ADC84"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In Process</w:t>
            </w:r>
          </w:p>
        </w:tc>
        <w:tc>
          <w:tcPr>
            <w:tcW w:w="1295" w:type="dxa"/>
            <w:noWrap/>
            <w:vAlign w:val="bottom"/>
            <w:hideMark/>
          </w:tcPr>
          <w:p w14:paraId="720A701E" w14:textId="77777777" w:rsidR="007A3BC9" w:rsidRPr="007A3BC9" w:rsidRDefault="007A3BC9" w:rsidP="007A3BC9">
            <w:pPr>
              <w:rPr>
                <w:rFonts w:eastAsia="Times New Roman" w:cstheme="minorHAnsi"/>
                <w:sz w:val="20"/>
                <w:szCs w:val="20"/>
              </w:rPr>
            </w:pPr>
            <w:r w:rsidRPr="007A3BC9">
              <w:rPr>
                <w:rFonts w:ascii="Calibri" w:hAnsi="Calibri" w:cs="Calibri"/>
                <w:sz w:val="20"/>
                <w:szCs w:val="20"/>
              </w:rPr>
              <w:t>Project Evaluation</w:t>
            </w:r>
          </w:p>
        </w:tc>
      </w:tr>
      <w:tr w:rsidR="007A3BC9" w:rsidRPr="00E13A47" w14:paraId="5EF0150B" w14:textId="77777777" w:rsidTr="00216A10">
        <w:trPr>
          <w:trHeight w:val="300"/>
        </w:trPr>
        <w:tc>
          <w:tcPr>
            <w:tcW w:w="918" w:type="dxa"/>
            <w:noWrap/>
            <w:vAlign w:val="bottom"/>
            <w:hideMark/>
          </w:tcPr>
          <w:p w14:paraId="5755F3B5" w14:textId="77777777" w:rsidR="007A3BC9" w:rsidRPr="007A3BC9" w:rsidRDefault="007A3BC9" w:rsidP="007A3BC9">
            <w:pPr>
              <w:rPr>
                <w:rFonts w:eastAsia="Times New Roman" w:cstheme="minorHAnsi"/>
                <w:sz w:val="20"/>
                <w:szCs w:val="20"/>
              </w:rPr>
            </w:pPr>
            <w:r w:rsidRPr="007A3BC9">
              <w:rPr>
                <w:rFonts w:cstheme="minorHAnsi"/>
                <w:sz w:val="20"/>
                <w:szCs w:val="20"/>
              </w:rPr>
              <w:t>10-002</w:t>
            </w:r>
          </w:p>
        </w:tc>
        <w:tc>
          <w:tcPr>
            <w:tcW w:w="1043" w:type="dxa"/>
            <w:noWrap/>
            <w:vAlign w:val="bottom"/>
            <w:hideMark/>
          </w:tcPr>
          <w:p w14:paraId="17734803" w14:textId="77777777" w:rsidR="007A3BC9" w:rsidRPr="007A3BC9" w:rsidRDefault="007A3BC9" w:rsidP="007A3BC9">
            <w:pPr>
              <w:rPr>
                <w:rFonts w:eastAsia="Times New Roman" w:cstheme="minorHAnsi"/>
                <w:sz w:val="20"/>
                <w:szCs w:val="20"/>
              </w:rPr>
            </w:pPr>
            <w:r w:rsidRPr="007A3BC9">
              <w:rPr>
                <w:rFonts w:cstheme="minorHAnsi"/>
                <w:sz w:val="20"/>
                <w:szCs w:val="20"/>
              </w:rPr>
              <w:t>0.00</w:t>
            </w:r>
          </w:p>
        </w:tc>
        <w:tc>
          <w:tcPr>
            <w:tcW w:w="910" w:type="dxa"/>
            <w:noWrap/>
            <w:vAlign w:val="bottom"/>
            <w:hideMark/>
          </w:tcPr>
          <w:p w14:paraId="3C9E6C16" w14:textId="77777777" w:rsidR="007A3BC9" w:rsidRPr="007A3BC9" w:rsidRDefault="007A3BC9" w:rsidP="007A3BC9">
            <w:pPr>
              <w:rPr>
                <w:rFonts w:eastAsia="Times New Roman" w:cstheme="minorHAnsi"/>
                <w:sz w:val="20"/>
                <w:szCs w:val="20"/>
              </w:rPr>
            </w:pPr>
            <w:r w:rsidRPr="007A3BC9">
              <w:rPr>
                <w:rFonts w:cstheme="minorHAnsi"/>
                <w:sz w:val="20"/>
                <w:szCs w:val="20"/>
              </w:rPr>
              <w:t>10/1/18 0:00</w:t>
            </w:r>
          </w:p>
        </w:tc>
        <w:tc>
          <w:tcPr>
            <w:tcW w:w="1016" w:type="dxa"/>
            <w:noWrap/>
            <w:vAlign w:val="bottom"/>
            <w:hideMark/>
          </w:tcPr>
          <w:p w14:paraId="24A56F65" w14:textId="77777777" w:rsidR="007A3BC9" w:rsidRPr="007A3BC9" w:rsidRDefault="007A3BC9" w:rsidP="007A3BC9">
            <w:pPr>
              <w:rPr>
                <w:rFonts w:eastAsia="Times New Roman" w:cstheme="minorHAnsi"/>
                <w:sz w:val="20"/>
                <w:szCs w:val="20"/>
              </w:rPr>
            </w:pPr>
            <w:r w:rsidRPr="007A3BC9">
              <w:rPr>
                <w:rFonts w:cstheme="minorHAnsi"/>
                <w:sz w:val="20"/>
                <w:szCs w:val="20"/>
              </w:rPr>
              <w:t>12/31/18</w:t>
            </w:r>
          </w:p>
        </w:tc>
        <w:tc>
          <w:tcPr>
            <w:tcW w:w="6629" w:type="dxa"/>
            <w:noWrap/>
            <w:vAlign w:val="bottom"/>
            <w:hideMark/>
          </w:tcPr>
          <w:p w14:paraId="79AF42A4" w14:textId="77777777" w:rsidR="007A3BC9" w:rsidRPr="007A3BC9" w:rsidRDefault="007A3BC9" w:rsidP="007A3BC9">
            <w:pPr>
              <w:rPr>
                <w:rFonts w:eastAsia="Times New Roman" w:cstheme="minorHAnsi"/>
                <w:sz w:val="20"/>
                <w:szCs w:val="20"/>
              </w:rPr>
            </w:pPr>
            <w:r w:rsidRPr="007A3BC9">
              <w:rPr>
                <w:rFonts w:cstheme="minorHAnsi"/>
                <w:sz w:val="20"/>
                <w:szCs w:val="20"/>
              </w:rPr>
              <w:t>Share independent evaluation results</w:t>
            </w:r>
          </w:p>
        </w:tc>
        <w:tc>
          <w:tcPr>
            <w:tcW w:w="781" w:type="dxa"/>
            <w:noWrap/>
            <w:vAlign w:val="bottom"/>
            <w:hideMark/>
          </w:tcPr>
          <w:p w14:paraId="539C7C52" w14:textId="77777777" w:rsidR="007A3BC9" w:rsidRPr="007A3BC9" w:rsidRDefault="007A3BC9" w:rsidP="007A3BC9">
            <w:pPr>
              <w:rPr>
                <w:rFonts w:eastAsia="Times New Roman" w:cstheme="minorHAnsi"/>
                <w:sz w:val="20"/>
                <w:szCs w:val="20"/>
              </w:rPr>
            </w:pPr>
            <w:r w:rsidRPr="007A3BC9">
              <w:rPr>
                <w:rFonts w:cstheme="minorHAnsi"/>
                <w:sz w:val="20"/>
                <w:szCs w:val="20"/>
              </w:rPr>
              <w:t>Q4</w:t>
            </w:r>
          </w:p>
        </w:tc>
        <w:tc>
          <w:tcPr>
            <w:tcW w:w="1798" w:type="dxa"/>
            <w:noWrap/>
            <w:vAlign w:val="bottom"/>
            <w:hideMark/>
          </w:tcPr>
          <w:p w14:paraId="355A419D" w14:textId="77777777" w:rsidR="007A3BC9" w:rsidRPr="007A3BC9" w:rsidRDefault="007A3BC9" w:rsidP="007A3BC9">
            <w:pPr>
              <w:rPr>
                <w:rFonts w:eastAsia="Times New Roman" w:cstheme="minorHAnsi"/>
                <w:sz w:val="20"/>
                <w:szCs w:val="20"/>
              </w:rPr>
            </w:pPr>
            <w:r w:rsidRPr="007A3BC9">
              <w:rPr>
                <w:rFonts w:cstheme="minorHAnsi"/>
                <w:sz w:val="20"/>
                <w:szCs w:val="20"/>
              </w:rPr>
              <w:t>No Status</w:t>
            </w:r>
          </w:p>
        </w:tc>
        <w:tc>
          <w:tcPr>
            <w:tcW w:w="1295" w:type="dxa"/>
            <w:noWrap/>
            <w:vAlign w:val="bottom"/>
            <w:hideMark/>
          </w:tcPr>
          <w:p w14:paraId="6293E61F" w14:textId="77777777" w:rsidR="007A3BC9" w:rsidRPr="007A3BC9" w:rsidRDefault="007A3BC9" w:rsidP="007A3BC9">
            <w:pPr>
              <w:rPr>
                <w:rFonts w:eastAsia="Times New Roman" w:cstheme="minorHAnsi"/>
                <w:sz w:val="20"/>
                <w:szCs w:val="20"/>
              </w:rPr>
            </w:pPr>
            <w:r w:rsidRPr="007A3BC9">
              <w:rPr>
                <w:rFonts w:cstheme="minorHAnsi"/>
                <w:sz w:val="20"/>
                <w:szCs w:val="20"/>
              </w:rPr>
              <w:t>Project Evaluation</w:t>
            </w:r>
          </w:p>
        </w:tc>
      </w:tr>
      <w:tr w:rsidR="007A3BC9" w:rsidRPr="00E13A47" w14:paraId="17C29483" w14:textId="77777777" w:rsidTr="00216A10">
        <w:trPr>
          <w:trHeight w:val="300"/>
        </w:trPr>
        <w:tc>
          <w:tcPr>
            <w:tcW w:w="918" w:type="dxa"/>
            <w:noWrap/>
            <w:vAlign w:val="bottom"/>
            <w:hideMark/>
          </w:tcPr>
          <w:p w14:paraId="3B642269" w14:textId="77777777" w:rsidR="007A3BC9" w:rsidRPr="007A3BC9" w:rsidRDefault="007A3BC9" w:rsidP="007A3BC9">
            <w:pPr>
              <w:rPr>
                <w:rFonts w:eastAsia="Times New Roman" w:cstheme="minorHAnsi"/>
                <w:sz w:val="20"/>
                <w:szCs w:val="20"/>
              </w:rPr>
            </w:pPr>
            <w:r w:rsidRPr="007A3BC9">
              <w:rPr>
                <w:rFonts w:cstheme="minorHAnsi"/>
                <w:sz w:val="20"/>
                <w:szCs w:val="20"/>
              </w:rPr>
              <w:lastRenderedPageBreak/>
              <w:t>10-002</w:t>
            </w:r>
          </w:p>
        </w:tc>
        <w:tc>
          <w:tcPr>
            <w:tcW w:w="1043" w:type="dxa"/>
            <w:noWrap/>
            <w:vAlign w:val="bottom"/>
            <w:hideMark/>
          </w:tcPr>
          <w:p w14:paraId="0B88E0B4" w14:textId="77777777" w:rsidR="007A3BC9" w:rsidRPr="007A3BC9" w:rsidRDefault="007A3BC9" w:rsidP="007A3BC9">
            <w:pPr>
              <w:rPr>
                <w:rFonts w:eastAsia="Times New Roman" w:cstheme="minorHAnsi"/>
                <w:sz w:val="20"/>
                <w:szCs w:val="20"/>
              </w:rPr>
            </w:pPr>
            <w:r w:rsidRPr="007A3BC9">
              <w:rPr>
                <w:rFonts w:cstheme="minorHAnsi"/>
                <w:sz w:val="20"/>
                <w:szCs w:val="20"/>
              </w:rPr>
              <w:t>0.00</w:t>
            </w:r>
          </w:p>
        </w:tc>
        <w:tc>
          <w:tcPr>
            <w:tcW w:w="910" w:type="dxa"/>
            <w:noWrap/>
            <w:vAlign w:val="bottom"/>
            <w:hideMark/>
          </w:tcPr>
          <w:p w14:paraId="1D21029B" w14:textId="77777777" w:rsidR="007A3BC9" w:rsidRPr="007A3BC9" w:rsidRDefault="007A3BC9" w:rsidP="007A3BC9">
            <w:pPr>
              <w:rPr>
                <w:rFonts w:eastAsia="Times New Roman" w:cstheme="minorHAnsi"/>
                <w:sz w:val="20"/>
                <w:szCs w:val="20"/>
              </w:rPr>
            </w:pPr>
            <w:r w:rsidRPr="007A3BC9">
              <w:rPr>
                <w:rFonts w:cstheme="minorHAnsi"/>
                <w:sz w:val="20"/>
                <w:szCs w:val="20"/>
              </w:rPr>
              <w:t>10/1/18</w:t>
            </w:r>
          </w:p>
        </w:tc>
        <w:tc>
          <w:tcPr>
            <w:tcW w:w="1016" w:type="dxa"/>
            <w:noWrap/>
            <w:vAlign w:val="bottom"/>
            <w:hideMark/>
          </w:tcPr>
          <w:p w14:paraId="166DA40A" w14:textId="77777777" w:rsidR="007A3BC9" w:rsidRPr="007A3BC9" w:rsidRDefault="007A3BC9" w:rsidP="007A3BC9">
            <w:pPr>
              <w:rPr>
                <w:rFonts w:eastAsia="Times New Roman" w:cstheme="minorHAnsi"/>
                <w:sz w:val="20"/>
                <w:szCs w:val="20"/>
              </w:rPr>
            </w:pPr>
            <w:r w:rsidRPr="007A3BC9">
              <w:rPr>
                <w:rFonts w:cstheme="minorHAnsi"/>
                <w:sz w:val="20"/>
                <w:szCs w:val="20"/>
              </w:rPr>
              <w:t>12/31/18</w:t>
            </w:r>
          </w:p>
        </w:tc>
        <w:tc>
          <w:tcPr>
            <w:tcW w:w="6629" w:type="dxa"/>
            <w:noWrap/>
            <w:vAlign w:val="bottom"/>
            <w:hideMark/>
          </w:tcPr>
          <w:p w14:paraId="073AE229" w14:textId="77777777" w:rsidR="007A3BC9" w:rsidRPr="007A3BC9" w:rsidRDefault="007A3BC9" w:rsidP="007A3BC9">
            <w:pPr>
              <w:rPr>
                <w:rFonts w:eastAsia="Times New Roman" w:cstheme="minorHAnsi"/>
                <w:sz w:val="20"/>
                <w:szCs w:val="20"/>
              </w:rPr>
            </w:pPr>
            <w:r w:rsidRPr="007A3BC9">
              <w:rPr>
                <w:rFonts w:cstheme="minorHAnsi"/>
                <w:sz w:val="20"/>
                <w:szCs w:val="20"/>
              </w:rPr>
              <w:t>Share independent evaluation results</w:t>
            </w:r>
          </w:p>
        </w:tc>
        <w:tc>
          <w:tcPr>
            <w:tcW w:w="781" w:type="dxa"/>
            <w:noWrap/>
            <w:vAlign w:val="bottom"/>
            <w:hideMark/>
          </w:tcPr>
          <w:p w14:paraId="79030027" w14:textId="77777777" w:rsidR="007A3BC9" w:rsidRPr="007A3BC9" w:rsidRDefault="007A3BC9" w:rsidP="007A3BC9">
            <w:pPr>
              <w:rPr>
                <w:rFonts w:eastAsia="Times New Roman" w:cstheme="minorHAnsi"/>
                <w:sz w:val="20"/>
                <w:szCs w:val="20"/>
              </w:rPr>
            </w:pPr>
            <w:r w:rsidRPr="007A3BC9">
              <w:rPr>
                <w:rFonts w:cstheme="minorHAnsi"/>
                <w:sz w:val="20"/>
                <w:szCs w:val="20"/>
              </w:rPr>
              <w:t>Q4</w:t>
            </w:r>
          </w:p>
        </w:tc>
        <w:tc>
          <w:tcPr>
            <w:tcW w:w="1798" w:type="dxa"/>
            <w:noWrap/>
            <w:vAlign w:val="bottom"/>
            <w:hideMark/>
          </w:tcPr>
          <w:p w14:paraId="0329E064" w14:textId="77777777" w:rsidR="007A3BC9" w:rsidRPr="007A3BC9" w:rsidRDefault="007A3BC9" w:rsidP="007A3BC9">
            <w:pPr>
              <w:rPr>
                <w:rFonts w:eastAsia="Times New Roman" w:cstheme="minorHAnsi"/>
                <w:sz w:val="20"/>
                <w:szCs w:val="20"/>
              </w:rPr>
            </w:pPr>
            <w:r w:rsidRPr="007A3BC9">
              <w:rPr>
                <w:rFonts w:cstheme="minorHAnsi"/>
                <w:sz w:val="20"/>
                <w:szCs w:val="20"/>
              </w:rPr>
              <w:t>No Status</w:t>
            </w:r>
          </w:p>
        </w:tc>
        <w:tc>
          <w:tcPr>
            <w:tcW w:w="1295" w:type="dxa"/>
            <w:noWrap/>
            <w:vAlign w:val="bottom"/>
            <w:hideMark/>
          </w:tcPr>
          <w:p w14:paraId="7892187E" w14:textId="77777777" w:rsidR="007A3BC9" w:rsidRPr="007A3BC9" w:rsidRDefault="007A3BC9" w:rsidP="007A3BC9">
            <w:pPr>
              <w:rPr>
                <w:rFonts w:eastAsia="Times New Roman" w:cstheme="minorHAnsi"/>
                <w:sz w:val="20"/>
                <w:szCs w:val="20"/>
              </w:rPr>
            </w:pPr>
            <w:r w:rsidRPr="007A3BC9">
              <w:rPr>
                <w:rFonts w:cstheme="minorHAnsi"/>
                <w:sz w:val="20"/>
                <w:szCs w:val="20"/>
              </w:rPr>
              <w:t>Project Evaluation</w:t>
            </w:r>
          </w:p>
        </w:tc>
      </w:tr>
    </w:tbl>
    <w:p w14:paraId="1EC81E03" w14:textId="77777777" w:rsidR="009A78D0" w:rsidRPr="009A78D0" w:rsidRDefault="009A78D0" w:rsidP="009A78D0"/>
    <w:sectPr w:rsidR="009A78D0" w:rsidRPr="009A78D0" w:rsidSect="0076203F">
      <w:headerReference w:type="default" r:id="rId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629E0" w14:textId="77777777" w:rsidR="00B711B6" w:rsidRDefault="00B711B6" w:rsidP="009A78D0">
      <w:r>
        <w:separator/>
      </w:r>
    </w:p>
  </w:endnote>
  <w:endnote w:type="continuationSeparator" w:id="0">
    <w:p w14:paraId="34D8DF48" w14:textId="77777777" w:rsidR="00B711B6" w:rsidRDefault="00B711B6" w:rsidP="009A7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5B229" w14:textId="42CA06F5" w:rsidR="00803D52" w:rsidRDefault="00803D52">
    <w:pPr>
      <w:pStyle w:val="Footer"/>
    </w:pPr>
    <w: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FB36E" w14:textId="77777777" w:rsidR="00B711B6" w:rsidRDefault="00B711B6" w:rsidP="009A78D0">
      <w:r>
        <w:separator/>
      </w:r>
    </w:p>
  </w:footnote>
  <w:footnote w:type="continuationSeparator" w:id="0">
    <w:p w14:paraId="4D91FC5A" w14:textId="77777777" w:rsidR="00B711B6" w:rsidRDefault="00B711B6" w:rsidP="009A7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49373" w14:textId="77777777" w:rsidR="00803D52" w:rsidRDefault="00803D52" w:rsidP="00830E5C">
    <w:pPr>
      <w:pStyle w:val="Header"/>
      <w:jc w:val="center"/>
      <w:rPr>
        <w:b/>
        <w:sz w:val="36"/>
        <w:szCs w:val="36"/>
      </w:rPr>
    </w:pPr>
    <w:r w:rsidRPr="00F05CE7">
      <w:rPr>
        <w:b/>
        <w:noProof/>
        <w:sz w:val="36"/>
        <w:szCs w:val="36"/>
      </w:rPr>
      <mc:AlternateContent>
        <mc:Choice Requires="wps">
          <w:drawing>
            <wp:anchor distT="0" distB="0" distL="114300" distR="114300" simplePos="0" relativeHeight="251666432" behindDoc="0" locked="0" layoutInCell="1" allowOverlap="1" wp14:anchorId="58D4761E" wp14:editId="69C433AA">
              <wp:simplePos x="0" y="0"/>
              <wp:positionH relativeFrom="column">
                <wp:posOffset>-623455</wp:posOffset>
              </wp:positionH>
              <wp:positionV relativeFrom="paragraph">
                <wp:posOffset>-117765</wp:posOffset>
              </wp:positionV>
              <wp:extent cx="1454728" cy="415637"/>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28" cy="415637"/>
                      </a:xfrm>
                      <a:prstGeom prst="rect">
                        <a:avLst/>
                      </a:prstGeom>
                      <a:solidFill>
                        <a:srgbClr val="FFFFFF"/>
                      </a:solidFill>
                      <a:ln w="9525">
                        <a:noFill/>
                        <a:miter lim="800000"/>
                        <a:headEnd/>
                        <a:tailEnd/>
                      </a:ln>
                    </wps:spPr>
                    <wps:txbx>
                      <w:txbxContent>
                        <w:p w14:paraId="300A8F0F" w14:textId="77777777" w:rsidR="00803D52" w:rsidRDefault="00803D52">
                          <w:r>
                            <w:rPr>
                              <w:noProof/>
                            </w:rPr>
                            <w:drawing>
                              <wp:inline distT="0" distB="0" distL="0" distR="0" wp14:anchorId="5CE46449" wp14:editId="40E83776">
                                <wp:extent cx="1309987" cy="222250"/>
                                <wp:effectExtent l="0" t="0" r="508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D4761E" id="_x0000_t202" coordsize="21600,21600" o:spt="202" path="m,l,21600r21600,l21600,xe">
              <v:stroke joinstyle="miter"/>
              <v:path gradientshapeok="t" o:connecttype="rect"/>
            </v:shapetype>
            <v:shape id="_x0000_s1027" type="#_x0000_t202" style="position:absolute;left:0;text-align:left;margin-left:-49.1pt;margin-top:-9.25pt;width:114.55pt;height: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" stroked="f">
              <v:textbox>
                <w:txbxContent>
                  <w:p w14:paraId="300A8F0F" w14:textId="77777777" w:rsidR="00803D52" w:rsidRDefault="00803D52">
                    <w:r>
                      <w:rPr>
                        <w:noProof/>
                      </w:rPr>
                      <w:drawing>
                        <wp:inline distT="0" distB="0" distL="0" distR="0" wp14:anchorId="5CE46449" wp14:editId="40E83776">
                          <wp:extent cx="1309987" cy="222250"/>
                          <wp:effectExtent l="0" t="0" r="508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v:textbox>
            </v:shape>
          </w:pict>
        </mc:Fallback>
      </mc:AlternateContent>
    </w:r>
  </w:p>
  <w:p w14:paraId="50BE714E" w14:textId="77777777" w:rsidR="00803D52" w:rsidRDefault="00803D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9239" w14:textId="77777777" w:rsidR="00FD3CD9" w:rsidRPr="00830E5C" w:rsidRDefault="00FD3CD9" w:rsidP="00FD3CD9">
    <w:pPr>
      <w:pStyle w:val="Header"/>
      <w:jc w:val="center"/>
      <w:rPr>
        <w:b/>
        <w:sz w:val="36"/>
        <w:szCs w:val="36"/>
      </w:rPr>
    </w:pPr>
    <w:r w:rsidRPr="00830E5C">
      <w:rPr>
        <w:b/>
        <w:sz w:val="36"/>
        <w:szCs w:val="36"/>
      </w:rPr>
      <w:t>Clinical Data Repository Sponsor Dashboard</w:t>
    </w:r>
  </w:p>
  <w:p w14:paraId="086F0567" w14:textId="219C4BC8" w:rsidR="00803D52" w:rsidRDefault="00FD3CD9" w:rsidP="00FD3CD9">
    <w:pPr>
      <w:pStyle w:val="Header"/>
      <w:ind w:left="1350"/>
      <w:jc w:val="center"/>
      <w:rPr>
        <w:b/>
        <w:sz w:val="36"/>
        <w:szCs w:val="36"/>
      </w:rPr>
    </w:pPr>
    <w:r w:rsidRPr="00830E5C">
      <w:rPr>
        <w:b/>
        <w:sz w:val="36"/>
        <w:szCs w:val="36"/>
      </w:rPr>
      <w:t>(prepared for Executive Sponsors – August 14, 2018)</w:t>
    </w:r>
    <w:r w:rsidR="00803D52" w:rsidRPr="00F05CE7">
      <w:rPr>
        <w:b/>
        <w:noProof/>
        <w:sz w:val="36"/>
        <w:szCs w:val="36"/>
      </w:rPr>
      <mc:AlternateContent>
        <mc:Choice Requires="wps">
          <w:drawing>
            <wp:anchor distT="0" distB="0" distL="114300" distR="114300" simplePos="0" relativeHeight="251668480" behindDoc="0" locked="0" layoutInCell="1" allowOverlap="1" wp14:anchorId="262EEA01" wp14:editId="70D3FAEE">
              <wp:simplePos x="0" y="0"/>
              <wp:positionH relativeFrom="column">
                <wp:posOffset>-623455</wp:posOffset>
              </wp:positionH>
              <wp:positionV relativeFrom="paragraph">
                <wp:posOffset>-117765</wp:posOffset>
              </wp:positionV>
              <wp:extent cx="1454728" cy="415637"/>
              <wp:effectExtent l="0" t="0" r="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28" cy="415637"/>
                      </a:xfrm>
                      <a:prstGeom prst="rect">
                        <a:avLst/>
                      </a:prstGeom>
                      <a:solidFill>
                        <a:srgbClr val="FFFFFF"/>
                      </a:solidFill>
                      <a:ln w="9525">
                        <a:noFill/>
                        <a:miter lim="800000"/>
                        <a:headEnd/>
                        <a:tailEnd/>
                      </a:ln>
                    </wps:spPr>
                    <wps:txbx>
                      <w:txbxContent>
                        <w:p w14:paraId="339D24F4" w14:textId="77777777" w:rsidR="00803D52" w:rsidRDefault="00803D52" w:rsidP="00C24C25">
                          <w:r>
                            <w:rPr>
                              <w:noProof/>
                            </w:rPr>
                            <w:drawing>
                              <wp:inline distT="0" distB="0" distL="0" distR="0" wp14:anchorId="3611F9E2" wp14:editId="6AAC34F5">
                                <wp:extent cx="1309987" cy="222250"/>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2EEA01" id="_x0000_t202" coordsize="21600,21600" o:spt="202" path="m,l,21600r21600,l21600,xe">
              <v:stroke joinstyle="miter"/>
              <v:path gradientshapeok="t" o:connecttype="rect"/>
            </v:shapetype>
            <v:shape id="_x0000_s1028" type="#_x0000_t202" style="position:absolute;left:0;text-align:left;margin-left:-49.1pt;margin-top:-9.25pt;width:114.55pt;height:3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" stroked="f">
              <v:textbox>
                <w:txbxContent>
                  <w:p w14:paraId="339D24F4" w14:textId="77777777" w:rsidR="00803D52" w:rsidRDefault="00803D52" w:rsidP="00C24C25">
                    <w:r>
                      <w:rPr>
                        <w:noProof/>
                      </w:rPr>
                      <w:drawing>
                        <wp:inline distT="0" distB="0" distL="0" distR="0" wp14:anchorId="3611F9E2" wp14:editId="6AAC34F5">
                          <wp:extent cx="1309987" cy="222250"/>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v:textbox>
            </v:shape>
          </w:pict>
        </mc:Fallback>
      </mc:AlternateContent>
    </w:r>
  </w:p>
  <w:p w14:paraId="76D0A309" w14:textId="16B12626" w:rsidR="00803D52" w:rsidRDefault="00803D52" w:rsidP="00C24C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C1823" w14:textId="77777777" w:rsidR="00803D52" w:rsidRPr="00830E5C" w:rsidRDefault="00803D52" w:rsidP="00830E5C">
    <w:pPr>
      <w:pStyle w:val="Header"/>
      <w:jc w:val="center"/>
      <w:rPr>
        <w:b/>
        <w:sz w:val="36"/>
        <w:szCs w:val="36"/>
      </w:rPr>
    </w:pPr>
    <w:r w:rsidRPr="00830E5C">
      <w:rPr>
        <w:b/>
        <w:sz w:val="36"/>
        <w:szCs w:val="36"/>
      </w:rPr>
      <w:t>Clinical Data Repository Sponsor Dashboard</w:t>
    </w:r>
  </w:p>
  <w:p w14:paraId="7A0E5698" w14:textId="2386A34D" w:rsidR="00803D52" w:rsidRDefault="00803D52" w:rsidP="00830E5C">
    <w:pPr>
      <w:pStyle w:val="Header"/>
      <w:jc w:val="center"/>
      <w:rPr>
        <w:b/>
        <w:sz w:val="36"/>
        <w:szCs w:val="36"/>
      </w:rPr>
    </w:pPr>
    <w:r w:rsidRPr="00830E5C">
      <w:rPr>
        <w:b/>
        <w:sz w:val="36"/>
        <w:szCs w:val="36"/>
      </w:rPr>
      <w:t>(prepared for Executive Sponsors – August 14, 2018)</w:t>
    </w:r>
    <w:r w:rsidRPr="00F05CE7">
      <w:rPr>
        <w:b/>
        <w:noProof/>
        <w:sz w:val="36"/>
        <w:szCs w:val="36"/>
      </w:rPr>
      <mc:AlternateContent>
        <mc:Choice Requires="wps">
          <w:drawing>
            <wp:anchor distT="0" distB="0" distL="114300" distR="114300" simplePos="0" relativeHeight="251660288" behindDoc="0" locked="0" layoutInCell="1" allowOverlap="1" wp14:anchorId="2ACC07F8" wp14:editId="705A71DC">
              <wp:simplePos x="0" y="0"/>
              <wp:positionH relativeFrom="column">
                <wp:posOffset>-623455</wp:posOffset>
              </wp:positionH>
              <wp:positionV relativeFrom="paragraph">
                <wp:posOffset>-117765</wp:posOffset>
              </wp:positionV>
              <wp:extent cx="1454728" cy="415637"/>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28" cy="415637"/>
                      </a:xfrm>
                      <a:prstGeom prst="rect">
                        <a:avLst/>
                      </a:prstGeom>
                      <a:solidFill>
                        <a:srgbClr val="FFFFFF"/>
                      </a:solidFill>
                      <a:ln w="9525">
                        <a:noFill/>
                        <a:miter lim="800000"/>
                        <a:headEnd/>
                        <a:tailEnd/>
                      </a:ln>
                    </wps:spPr>
                    <wps:txbx>
                      <w:txbxContent>
                        <w:p w14:paraId="10DE9211" w14:textId="77777777" w:rsidR="00803D52" w:rsidRDefault="00803D52" w:rsidP="00200F6B">
                          <w:r>
                            <w:rPr>
                              <w:noProof/>
                            </w:rPr>
                            <w:drawing>
                              <wp:inline distT="0" distB="0" distL="0" distR="0" wp14:anchorId="0D001466" wp14:editId="571B36A4">
                                <wp:extent cx="1309987" cy="22225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CC07F8" id="_x0000_t202" coordsize="21600,21600" o:spt="202" path="m,l,21600r21600,l21600,xe">
              <v:stroke joinstyle="miter"/>
              <v:path gradientshapeok="t" o:connecttype="rect"/>
            </v:shapetype>
            <v:shape id="_x0000_s1029" type="#_x0000_t202" style="position:absolute;left:0;text-align:left;margin-left:-49.1pt;margin-top:-9.25pt;width:114.55pt;height: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" stroked="f">
              <v:textbox>
                <w:txbxContent>
                  <w:p w14:paraId="10DE9211" w14:textId="77777777" w:rsidR="00803D52" w:rsidRDefault="00803D52" w:rsidP="00200F6B">
                    <w:r>
                      <w:rPr>
                        <w:noProof/>
                      </w:rPr>
                      <w:drawing>
                        <wp:inline distT="0" distB="0" distL="0" distR="0" wp14:anchorId="0D001466" wp14:editId="571B36A4">
                          <wp:extent cx="1309987" cy="22225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A3A7A" w14:textId="77777777" w:rsidR="00803D52" w:rsidRPr="007E23CD" w:rsidRDefault="00803D52" w:rsidP="00200F6B">
    <w:pPr>
      <w:pStyle w:val="Header"/>
    </w:pPr>
    <w:r w:rsidRPr="007E23CD">
      <w:rPr>
        <w:noProof/>
      </w:rPr>
      <w:drawing>
        <wp:anchor distT="0" distB="0" distL="114300" distR="114300" simplePos="0" relativeHeight="251664384" behindDoc="0" locked="0" layoutInCell="1" allowOverlap="1" wp14:anchorId="58CEEAAC" wp14:editId="150DBC1A">
          <wp:simplePos x="0" y="0"/>
          <wp:positionH relativeFrom="column">
            <wp:posOffset>7219720</wp:posOffset>
          </wp:positionH>
          <wp:positionV relativeFrom="paragraph">
            <wp:posOffset>-47139</wp:posOffset>
          </wp:positionV>
          <wp:extent cx="1847088" cy="31089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088" cy="310896"/>
                  </a:xfrm>
                  <a:prstGeom prst="rect">
                    <a:avLst/>
                  </a:prstGeom>
                </pic:spPr>
              </pic:pic>
            </a:graphicData>
          </a:graphic>
          <wp14:sizeRelH relativeFrom="margin">
            <wp14:pctWidth>0</wp14:pctWidth>
          </wp14:sizeRelH>
          <wp14:sizeRelV relativeFrom="margin">
            <wp14:pctHeight>0</wp14:pctHeight>
          </wp14:sizeRelV>
        </wp:anchor>
      </w:drawing>
    </w:r>
    <w:r w:rsidRPr="007E23CD">
      <w:t>Health IT Operational Plan</w:t>
    </w:r>
  </w:p>
  <w:p w14:paraId="10E256C8" w14:textId="77777777" w:rsidR="00803D52" w:rsidRPr="007E23CD" w:rsidRDefault="00803D52" w:rsidP="00200F6B">
    <w:pPr>
      <w:pStyle w:val="Header"/>
    </w:pPr>
    <w:r>
      <w:t>2</w:t>
    </w:r>
    <w:r w:rsidRPr="0076417E">
      <w:rPr>
        <w:vertAlign w:val="superscript"/>
      </w:rPr>
      <w:t>nd</w:t>
    </w:r>
    <w:r>
      <w:t xml:space="preserve"> </w:t>
    </w:r>
    <w:r w:rsidRPr="007E23CD">
      <w:t>Quarterly Update</w:t>
    </w:r>
  </w:p>
  <w:p w14:paraId="5627DEE4" w14:textId="77777777" w:rsidR="00803D52" w:rsidRDefault="00803D52" w:rsidP="009A78D0">
    <w:pPr>
      <w:pStyle w:val="Header"/>
      <w:jc w:val="cent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7A2C"/>
    <w:multiLevelType w:val="hybridMultilevel"/>
    <w:tmpl w:val="8BAA6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EB6089"/>
    <w:multiLevelType w:val="hybridMultilevel"/>
    <w:tmpl w:val="44B665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960562"/>
    <w:multiLevelType w:val="hybridMultilevel"/>
    <w:tmpl w:val="5254F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5B3BA6"/>
    <w:multiLevelType w:val="hybridMultilevel"/>
    <w:tmpl w:val="25ACA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153BBE"/>
    <w:multiLevelType w:val="hybridMultilevel"/>
    <w:tmpl w:val="576433A2"/>
    <w:lvl w:ilvl="0" w:tplc="55868C5C">
      <w:numFmt w:val="bullet"/>
      <w:lvlText w:val="•"/>
      <w:lvlJc w:val="left"/>
      <w:pPr>
        <w:ind w:left="240" w:hanging="600"/>
      </w:pPr>
      <w:rPr>
        <w:rFonts w:ascii="Arial" w:eastAsiaTheme="minorHAnsi" w:hAnsi="Arial" w:cs="Arial" w:hint="default"/>
        <w:color w:val="1F497D"/>
        <w:sz w:val="2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20DC50CF"/>
    <w:multiLevelType w:val="hybridMultilevel"/>
    <w:tmpl w:val="B1F23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1DB6425"/>
    <w:multiLevelType w:val="hybridMultilevel"/>
    <w:tmpl w:val="71DA1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E2312C"/>
    <w:multiLevelType w:val="hybridMultilevel"/>
    <w:tmpl w:val="5F6AF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9106C2"/>
    <w:multiLevelType w:val="hybridMultilevel"/>
    <w:tmpl w:val="CF9C21E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9" w15:restartNumberingAfterBreak="0">
    <w:nsid w:val="71244373"/>
    <w:multiLevelType w:val="hybridMultilevel"/>
    <w:tmpl w:val="AEF20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9443F2"/>
    <w:multiLevelType w:val="hybridMultilevel"/>
    <w:tmpl w:val="E3CCCEEC"/>
    <w:lvl w:ilvl="0" w:tplc="A1387F88">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8"/>
  </w:num>
  <w:num w:numId="3">
    <w:abstractNumId w:val="3"/>
  </w:num>
  <w:num w:numId="4">
    <w:abstractNumId w:val="1"/>
  </w:num>
  <w:num w:numId="5">
    <w:abstractNumId w:val="5"/>
  </w:num>
  <w:num w:numId="6">
    <w:abstractNumId w:val="6"/>
  </w:num>
  <w:num w:numId="7">
    <w:abstractNumId w:val="9"/>
  </w:num>
  <w:num w:numId="8">
    <w:abstractNumId w:val="0"/>
  </w:num>
  <w:num w:numId="9">
    <w:abstractNumId w:val="4"/>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8D0"/>
    <w:rsid w:val="00030CCF"/>
    <w:rsid w:val="00036675"/>
    <w:rsid w:val="000A24C3"/>
    <w:rsid w:val="000C3EA5"/>
    <w:rsid w:val="000D212B"/>
    <w:rsid w:val="0012102D"/>
    <w:rsid w:val="00126B06"/>
    <w:rsid w:val="00157B1F"/>
    <w:rsid w:val="00182633"/>
    <w:rsid w:val="0018285C"/>
    <w:rsid w:val="00182CDE"/>
    <w:rsid w:val="001E2F64"/>
    <w:rsid w:val="001E4365"/>
    <w:rsid w:val="00200F6B"/>
    <w:rsid w:val="00216A10"/>
    <w:rsid w:val="00285B1D"/>
    <w:rsid w:val="002B7132"/>
    <w:rsid w:val="003077CA"/>
    <w:rsid w:val="00361773"/>
    <w:rsid w:val="003C0B53"/>
    <w:rsid w:val="004114A1"/>
    <w:rsid w:val="004176D3"/>
    <w:rsid w:val="00481A26"/>
    <w:rsid w:val="004A7F15"/>
    <w:rsid w:val="004B33B3"/>
    <w:rsid w:val="004D5ADD"/>
    <w:rsid w:val="004D7225"/>
    <w:rsid w:val="00535DAC"/>
    <w:rsid w:val="005503AE"/>
    <w:rsid w:val="00553B1C"/>
    <w:rsid w:val="00567E14"/>
    <w:rsid w:val="005A1AC8"/>
    <w:rsid w:val="00622A3E"/>
    <w:rsid w:val="00636949"/>
    <w:rsid w:val="00641782"/>
    <w:rsid w:val="007135EC"/>
    <w:rsid w:val="00743312"/>
    <w:rsid w:val="007449AB"/>
    <w:rsid w:val="007547AB"/>
    <w:rsid w:val="0076203F"/>
    <w:rsid w:val="0076417E"/>
    <w:rsid w:val="007A3BC9"/>
    <w:rsid w:val="007B05C6"/>
    <w:rsid w:val="007E23CD"/>
    <w:rsid w:val="007F233F"/>
    <w:rsid w:val="007F2B75"/>
    <w:rsid w:val="00803D52"/>
    <w:rsid w:val="00814773"/>
    <w:rsid w:val="00830E5C"/>
    <w:rsid w:val="008B29A4"/>
    <w:rsid w:val="008C25CA"/>
    <w:rsid w:val="008E6595"/>
    <w:rsid w:val="00912A89"/>
    <w:rsid w:val="00914AB9"/>
    <w:rsid w:val="00997063"/>
    <w:rsid w:val="009A78D0"/>
    <w:rsid w:val="009B382C"/>
    <w:rsid w:val="009D720D"/>
    <w:rsid w:val="00A832C7"/>
    <w:rsid w:val="00A910E7"/>
    <w:rsid w:val="00AB3B6E"/>
    <w:rsid w:val="00AB6D6A"/>
    <w:rsid w:val="00AD285D"/>
    <w:rsid w:val="00AF1D5A"/>
    <w:rsid w:val="00B21B78"/>
    <w:rsid w:val="00B711B6"/>
    <w:rsid w:val="00B77D10"/>
    <w:rsid w:val="00B84A2C"/>
    <w:rsid w:val="00BC45B5"/>
    <w:rsid w:val="00BE06E4"/>
    <w:rsid w:val="00BE1FEF"/>
    <w:rsid w:val="00C07A1A"/>
    <w:rsid w:val="00C24C25"/>
    <w:rsid w:val="00C67F93"/>
    <w:rsid w:val="00C7158C"/>
    <w:rsid w:val="00CB7F58"/>
    <w:rsid w:val="00D1472F"/>
    <w:rsid w:val="00D77453"/>
    <w:rsid w:val="00D812FB"/>
    <w:rsid w:val="00DA674D"/>
    <w:rsid w:val="00DE1FE6"/>
    <w:rsid w:val="00DE4502"/>
    <w:rsid w:val="00E13A47"/>
    <w:rsid w:val="00E207AF"/>
    <w:rsid w:val="00E27F9F"/>
    <w:rsid w:val="00E95BA5"/>
    <w:rsid w:val="00EB1BD9"/>
    <w:rsid w:val="00EB378C"/>
    <w:rsid w:val="00EF5860"/>
    <w:rsid w:val="00F14D97"/>
    <w:rsid w:val="00F15110"/>
    <w:rsid w:val="00F32B61"/>
    <w:rsid w:val="00F574F7"/>
    <w:rsid w:val="00F8366E"/>
    <w:rsid w:val="00F87231"/>
    <w:rsid w:val="00F950F3"/>
    <w:rsid w:val="00FD3AA7"/>
    <w:rsid w:val="00FD3CD9"/>
    <w:rsid w:val="00FD5EDA"/>
    <w:rsid w:val="00FE0319"/>
    <w:rsid w:val="00FE0662"/>
    <w:rsid w:val="00FE357F"/>
    <w:rsid w:val="00FE4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1EA754"/>
  <w14:defaultImageDpi w14:val="32767"/>
  <w15:docId w15:val="{23A8DD02-8BC9-B64B-90D0-E7DEBDC0E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722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22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A78D0"/>
    <w:pPr>
      <w:tabs>
        <w:tab w:val="center" w:pos="4680"/>
        <w:tab w:val="right" w:pos="9360"/>
      </w:tabs>
    </w:pPr>
  </w:style>
  <w:style w:type="character" w:customStyle="1" w:styleId="HeaderChar">
    <w:name w:val="Header Char"/>
    <w:basedOn w:val="DefaultParagraphFont"/>
    <w:link w:val="Header"/>
    <w:uiPriority w:val="99"/>
    <w:rsid w:val="009A78D0"/>
  </w:style>
  <w:style w:type="paragraph" w:styleId="Footer">
    <w:name w:val="footer"/>
    <w:basedOn w:val="Normal"/>
    <w:link w:val="FooterChar"/>
    <w:uiPriority w:val="99"/>
    <w:unhideWhenUsed/>
    <w:rsid w:val="009A78D0"/>
    <w:pPr>
      <w:tabs>
        <w:tab w:val="center" w:pos="4680"/>
        <w:tab w:val="right" w:pos="9360"/>
      </w:tabs>
    </w:pPr>
  </w:style>
  <w:style w:type="character" w:customStyle="1" w:styleId="FooterChar">
    <w:name w:val="Footer Char"/>
    <w:basedOn w:val="DefaultParagraphFont"/>
    <w:link w:val="Footer"/>
    <w:uiPriority w:val="99"/>
    <w:rsid w:val="009A78D0"/>
  </w:style>
  <w:style w:type="character" w:styleId="Hyperlink">
    <w:name w:val="Hyperlink"/>
    <w:basedOn w:val="DefaultParagraphFont"/>
    <w:uiPriority w:val="99"/>
    <w:unhideWhenUsed/>
    <w:rsid w:val="009A78D0"/>
    <w:rPr>
      <w:color w:val="0563C1" w:themeColor="hyperlink"/>
      <w:u w:val="single"/>
    </w:rPr>
  </w:style>
  <w:style w:type="character" w:customStyle="1" w:styleId="UnresolvedMention1">
    <w:name w:val="Unresolved Mention1"/>
    <w:basedOn w:val="DefaultParagraphFont"/>
    <w:uiPriority w:val="99"/>
    <w:rsid w:val="009A78D0"/>
    <w:rPr>
      <w:color w:val="808080"/>
      <w:shd w:val="clear" w:color="auto" w:fill="E6E6E6"/>
    </w:rPr>
  </w:style>
  <w:style w:type="character" w:styleId="FollowedHyperlink">
    <w:name w:val="FollowedHyperlink"/>
    <w:basedOn w:val="DefaultParagraphFont"/>
    <w:uiPriority w:val="99"/>
    <w:semiHidden/>
    <w:unhideWhenUsed/>
    <w:rsid w:val="0076203F"/>
    <w:rPr>
      <w:color w:val="800080"/>
      <w:u w:val="single"/>
    </w:rPr>
  </w:style>
  <w:style w:type="paragraph" w:customStyle="1" w:styleId="msonormal0">
    <w:name w:val="msonormal"/>
    <w:basedOn w:val="Normal"/>
    <w:rsid w:val="0076203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567E14"/>
    <w:rPr>
      <w:sz w:val="16"/>
      <w:szCs w:val="16"/>
    </w:rPr>
  </w:style>
  <w:style w:type="paragraph" w:styleId="CommentText">
    <w:name w:val="annotation text"/>
    <w:basedOn w:val="Normal"/>
    <w:link w:val="CommentTextChar"/>
    <w:uiPriority w:val="99"/>
    <w:semiHidden/>
    <w:unhideWhenUsed/>
    <w:rsid w:val="00567E14"/>
    <w:rPr>
      <w:sz w:val="20"/>
      <w:szCs w:val="20"/>
    </w:rPr>
  </w:style>
  <w:style w:type="character" w:customStyle="1" w:styleId="CommentTextChar">
    <w:name w:val="Comment Text Char"/>
    <w:basedOn w:val="DefaultParagraphFont"/>
    <w:link w:val="CommentText"/>
    <w:uiPriority w:val="99"/>
    <w:semiHidden/>
    <w:rsid w:val="00567E14"/>
    <w:rPr>
      <w:sz w:val="20"/>
      <w:szCs w:val="20"/>
    </w:rPr>
  </w:style>
  <w:style w:type="paragraph" w:styleId="CommentSubject">
    <w:name w:val="annotation subject"/>
    <w:basedOn w:val="CommentText"/>
    <w:next w:val="CommentText"/>
    <w:link w:val="CommentSubjectChar"/>
    <w:uiPriority w:val="99"/>
    <w:semiHidden/>
    <w:unhideWhenUsed/>
    <w:rsid w:val="00567E14"/>
    <w:rPr>
      <w:b/>
      <w:bCs/>
    </w:rPr>
  </w:style>
  <w:style w:type="character" w:customStyle="1" w:styleId="CommentSubjectChar">
    <w:name w:val="Comment Subject Char"/>
    <w:basedOn w:val="CommentTextChar"/>
    <w:link w:val="CommentSubject"/>
    <w:uiPriority w:val="99"/>
    <w:semiHidden/>
    <w:rsid w:val="00567E14"/>
    <w:rPr>
      <w:b/>
      <w:bCs/>
      <w:sz w:val="20"/>
      <w:szCs w:val="20"/>
    </w:rPr>
  </w:style>
  <w:style w:type="paragraph" w:styleId="BalloonText">
    <w:name w:val="Balloon Text"/>
    <w:basedOn w:val="Normal"/>
    <w:link w:val="BalloonTextChar"/>
    <w:uiPriority w:val="99"/>
    <w:semiHidden/>
    <w:unhideWhenUsed/>
    <w:rsid w:val="00567E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E14"/>
    <w:rPr>
      <w:rFonts w:ascii="Segoe UI" w:hAnsi="Segoe UI" w:cs="Segoe UI"/>
      <w:sz w:val="18"/>
      <w:szCs w:val="18"/>
    </w:rPr>
  </w:style>
  <w:style w:type="paragraph" w:styleId="ListParagraph">
    <w:name w:val="List Paragraph"/>
    <w:basedOn w:val="Normal"/>
    <w:uiPriority w:val="34"/>
    <w:qFormat/>
    <w:rsid w:val="00285B1D"/>
    <w:pPr>
      <w:ind w:left="720"/>
      <w:contextualSpacing/>
    </w:pPr>
  </w:style>
  <w:style w:type="table" w:styleId="TableGrid">
    <w:name w:val="Table Grid"/>
    <w:basedOn w:val="TableNormal"/>
    <w:uiPriority w:val="39"/>
    <w:rsid w:val="00285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26B06"/>
  </w:style>
  <w:style w:type="paragraph" w:customStyle="1" w:styleId="xl66">
    <w:name w:val="xl66"/>
    <w:basedOn w:val="Normal"/>
    <w:rsid w:val="00E13A47"/>
    <w:pPr>
      <w:pBdr>
        <w:bottom w:val="single" w:sz="8" w:space="0" w:color="auto"/>
      </w:pBdr>
      <w:shd w:val="clear" w:color="000000" w:fill="DCE6F1"/>
      <w:spacing w:before="100" w:beforeAutospacing="1" w:after="100" w:afterAutospacing="1"/>
      <w:jc w:val="center"/>
    </w:pPr>
    <w:rPr>
      <w:rFonts w:ascii="Calibri" w:eastAsia="Times New Roman" w:hAnsi="Calibri" w:cs="Calibri"/>
      <w:b/>
      <w:bCs/>
      <w:color w:val="366092"/>
      <w:sz w:val="20"/>
      <w:szCs w:val="20"/>
    </w:rPr>
  </w:style>
  <w:style w:type="paragraph" w:customStyle="1" w:styleId="xl67">
    <w:name w:val="xl67"/>
    <w:basedOn w:val="Normal"/>
    <w:rsid w:val="00E13A47"/>
    <w:pPr>
      <w:pBdr>
        <w:bottom w:val="single" w:sz="8" w:space="0" w:color="auto"/>
      </w:pBdr>
      <w:shd w:val="clear" w:color="000000" w:fill="DCE6F1"/>
      <w:spacing w:before="100" w:beforeAutospacing="1" w:after="100" w:afterAutospacing="1"/>
      <w:jc w:val="center"/>
    </w:pPr>
    <w:rPr>
      <w:rFonts w:ascii="Calibri" w:eastAsia="Times New Roman" w:hAnsi="Calibri" w:cs="Calibri"/>
      <w:b/>
      <w:bCs/>
      <w:color w:val="336699"/>
      <w:sz w:val="20"/>
      <w:szCs w:val="20"/>
    </w:rPr>
  </w:style>
  <w:style w:type="paragraph" w:customStyle="1" w:styleId="xl68">
    <w:name w:val="xl68"/>
    <w:basedOn w:val="Normal"/>
    <w:rsid w:val="00E13A47"/>
    <w:pPr>
      <w:pBdr>
        <w:bottom w:val="single" w:sz="8" w:space="0" w:color="auto"/>
      </w:pBdr>
      <w:shd w:val="clear" w:color="000000" w:fill="DCE6F1"/>
      <w:spacing w:before="100" w:beforeAutospacing="1" w:after="100" w:afterAutospacing="1"/>
    </w:pPr>
    <w:rPr>
      <w:rFonts w:ascii="Calibri" w:eastAsia="Times New Roman" w:hAnsi="Calibri" w:cs="Calibri"/>
      <w:b/>
      <w:bCs/>
      <w:color w:val="336699"/>
      <w:sz w:val="20"/>
      <w:szCs w:val="20"/>
    </w:rPr>
  </w:style>
  <w:style w:type="paragraph" w:customStyle="1" w:styleId="xl69">
    <w:name w:val="xl69"/>
    <w:basedOn w:val="Normal"/>
    <w:rsid w:val="00E13A47"/>
    <w:pPr>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E13A47"/>
    <w:pPr>
      <w:spacing w:before="100" w:beforeAutospacing="1" w:after="100" w:afterAutospacing="1"/>
    </w:pPr>
    <w:rPr>
      <w:rFonts w:ascii="Times New Roman" w:eastAsia="Times New Roman" w:hAnsi="Times New Roman" w:cs="Times New Roman"/>
    </w:rPr>
  </w:style>
  <w:style w:type="paragraph" w:customStyle="1" w:styleId="xl73">
    <w:name w:val="xl73"/>
    <w:basedOn w:val="Normal"/>
    <w:rsid w:val="00E13A4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6616">
      <w:bodyDiv w:val="1"/>
      <w:marLeft w:val="0"/>
      <w:marRight w:val="0"/>
      <w:marTop w:val="0"/>
      <w:marBottom w:val="0"/>
      <w:divBdr>
        <w:top w:val="none" w:sz="0" w:space="0" w:color="auto"/>
        <w:left w:val="none" w:sz="0" w:space="0" w:color="auto"/>
        <w:bottom w:val="none" w:sz="0" w:space="0" w:color="auto"/>
        <w:right w:val="none" w:sz="0" w:space="0" w:color="auto"/>
      </w:divBdr>
    </w:div>
    <w:div w:id="476412423">
      <w:bodyDiv w:val="1"/>
      <w:marLeft w:val="0"/>
      <w:marRight w:val="0"/>
      <w:marTop w:val="0"/>
      <w:marBottom w:val="0"/>
      <w:divBdr>
        <w:top w:val="none" w:sz="0" w:space="0" w:color="auto"/>
        <w:left w:val="none" w:sz="0" w:space="0" w:color="auto"/>
        <w:bottom w:val="none" w:sz="0" w:space="0" w:color="auto"/>
        <w:right w:val="none" w:sz="0" w:space="0" w:color="auto"/>
      </w:divBdr>
    </w:div>
    <w:div w:id="495147293">
      <w:bodyDiv w:val="1"/>
      <w:marLeft w:val="0"/>
      <w:marRight w:val="0"/>
      <w:marTop w:val="0"/>
      <w:marBottom w:val="0"/>
      <w:divBdr>
        <w:top w:val="none" w:sz="0" w:space="0" w:color="auto"/>
        <w:left w:val="none" w:sz="0" w:space="0" w:color="auto"/>
        <w:bottom w:val="none" w:sz="0" w:space="0" w:color="auto"/>
        <w:right w:val="none" w:sz="0" w:space="0" w:color="auto"/>
      </w:divBdr>
    </w:div>
    <w:div w:id="564874527">
      <w:bodyDiv w:val="1"/>
      <w:marLeft w:val="0"/>
      <w:marRight w:val="0"/>
      <w:marTop w:val="0"/>
      <w:marBottom w:val="0"/>
      <w:divBdr>
        <w:top w:val="none" w:sz="0" w:space="0" w:color="auto"/>
        <w:left w:val="none" w:sz="0" w:space="0" w:color="auto"/>
        <w:bottom w:val="none" w:sz="0" w:space="0" w:color="auto"/>
        <w:right w:val="none" w:sz="0" w:space="0" w:color="auto"/>
      </w:divBdr>
    </w:div>
    <w:div w:id="594166250">
      <w:bodyDiv w:val="1"/>
      <w:marLeft w:val="0"/>
      <w:marRight w:val="0"/>
      <w:marTop w:val="0"/>
      <w:marBottom w:val="0"/>
      <w:divBdr>
        <w:top w:val="none" w:sz="0" w:space="0" w:color="auto"/>
        <w:left w:val="none" w:sz="0" w:space="0" w:color="auto"/>
        <w:bottom w:val="none" w:sz="0" w:space="0" w:color="auto"/>
        <w:right w:val="none" w:sz="0" w:space="0" w:color="auto"/>
      </w:divBdr>
    </w:div>
    <w:div w:id="710492673">
      <w:bodyDiv w:val="1"/>
      <w:marLeft w:val="0"/>
      <w:marRight w:val="0"/>
      <w:marTop w:val="0"/>
      <w:marBottom w:val="0"/>
      <w:divBdr>
        <w:top w:val="none" w:sz="0" w:space="0" w:color="auto"/>
        <w:left w:val="none" w:sz="0" w:space="0" w:color="auto"/>
        <w:bottom w:val="none" w:sz="0" w:space="0" w:color="auto"/>
        <w:right w:val="none" w:sz="0" w:space="0" w:color="auto"/>
      </w:divBdr>
    </w:div>
    <w:div w:id="780145296">
      <w:bodyDiv w:val="1"/>
      <w:marLeft w:val="0"/>
      <w:marRight w:val="0"/>
      <w:marTop w:val="0"/>
      <w:marBottom w:val="0"/>
      <w:divBdr>
        <w:top w:val="none" w:sz="0" w:space="0" w:color="auto"/>
        <w:left w:val="none" w:sz="0" w:space="0" w:color="auto"/>
        <w:bottom w:val="none" w:sz="0" w:space="0" w:color="auto"/>
        <w:right w:val="none" w:sz="0" w:space="0" w:color="auto"/>
      </w:divBdr>
    </w:div>
    <w:div w:id="793862544">
      <w:bodyDiv w:val="1"/>
      <w:marLeft w:val="0"/>
      <w:marRight w:val="0"/>
      <w:marTop w:val="0"/>
      <w:marBottom w:val="0"/>
      <w:divBdr>
        <w:top w:val="none" w:sz="0" w:space="0" w:color="auto"/>
        <w:left w:val="none" w:sz="0" w:space="0" w:color="auto"/>
        <w:bottom w:val="none" w:sz="0" w:space="0" w:color="auto"/>
        <w:right w:val="none" w:sz="0" w:space="0" w:color="auto"/>
      </w:divBdr>
    </w:div>
    <w:div w:id="961810797">
      <w:bodyDiv w:val="1"/>
      <w:marLeft w:val="0"/>
      <w:marRight w:val="0"/>
      <w:marTop w:val="0"/>
      <w:marBottom w:val="0"/>
      <w:divBdr>
        <w:top w:val="none" w:sz="0" w:space="0" w:color="auto"/>
        <w:left w:val="none" w:sz="0" w:space="0" w:color="auto"/>
        <w:bottom w:val="none" w:sz="0" w:space="0" w:color="auto"/>
        <w:right w:val="none" w:sz="0" w:space="0" w:color="auto"/>
      </w:divBdr>
    </w:div>
    <w:div w:id="1213074792">
      <w:bodyDiv w:val="1"/>
      <w:marLeft w:val="0"/>
      <w:marRight w:val="0"/>
      <w:marTop w:val="0"/>
      <w:marBottom w:val="0"/>
      <w:divBdr>
        <w:top w:val="none" w:sz="0" w:space="0" w:color="auto"/>
        <w:left w:val="none" w:sz="0" w:space="0" w:color="auto"/>
        <w:bottom w:val="none" w:sz="0" w:space="0" w:color="auto"/>
        <w:right w:val="none" w:sz="0" w:space="0" w:color="auto"/>
      </w:divBdr>
    </w:div>
    <w:div w:id="1602378292">
      <w:bodyDiv w:val="1"/>
      <w:marLeft w:val="0"/>
      <w:marRight w:val="0"/>
      <w:marTop w:val="0"/>
      <w:marBottom w:val="0"/>
      <w:divBdr>
        <w:top w:val="none" w:sz="0" w:space="0" w:color="auto"/>
        <w:left w:val="none" w:sz="0" w:space="0" w:color="auto"/>
        <w:bottom w:val="none" w:sz="0" w:space="0" w:color="auto"/>
        <w:right w:val="none" w:sz="0" w:space="0" w:color="auto"/>
      </w:divBdr>
      <w:divsChild>
        <w:div w:id="1548571363">
          <w:marLeft w:val="0"/>
          <w:marRight w:val="0"/>
          <w:marTop w:val="0"/>
          <w:marBottom w:val="0"/>
          <w:divBdr>
            <w:top w:val="none" w:sz="0" w:space="0" w:color="auto"/>
            <w:left w:val="none" w:sz="0" w:space="0" w:color="auto"/>
            <w:bottom w:val="none" w:sz="0" w:space="0" w:color="auto"/>
            <w:right w:val="none" w:sz="0" w:space="0" w:color="auto"/>
          </w:divBdr>
          <w:divsChild>
            <w:div w:id="1337071737">
              <w:marLeft w:val="0"/>
              <w:marRight w:val="0"/>
              <w:marTop w:val="0"/>
              <w:marBottom w:val="0"/>
              <w:divBdr>
                <w:top w:val="none" w:sz="0" w:space="0" w:color="auto"/>
                <w:left w:val="none" w:sz="0" w:space="0" w:color="auto"/>
                <w:bottom w:val="none" w:sz="0" w:space="0" w:color="auto"/>
                <w:right w:val="none" w:sz="0" w:space="0" w:color="auto"/>
              </w:divBdr>
              <w:divsChild>
                <w:div w:id="709843322">
                  <w:marLeft w:val="0"/>
                  <w:marRight w:val="0"/>
                  <w:marTop w:val="0"/>
                  <w:marBottom w:val="0"/>
                  <w:divBdr>
                    <w:top w:val="none" w:sz="0" w:space="0" w:color="auto"/>
                    <w:left w:val="none" w:sz="0" w:space="0" w:color="auto"/>
                    <w:bottom w:val="none" w:sz="0" w:space="0" w:color="auto"/>
                    <w:right w:val="none" w:sz="0" w:space="0" w:color="auto"/>
                  </w:divBdr>
                  <w:divsChild>
                    <w:div w:id="535778451">
                      <w:marLeft w:val="0"/>
                      <w:marRight w:val="0"/>
                      <w:marTop w:val="0"/>
                      <w:marBottom w:val="0"/>
                      <w:divBdr>
                        <w:top w:val="none" w:sz="0" w:space="0" w:color="auto"/>
                        <w:left w:val="none" w:sz="0" w:space="0" w:color="auto"/>
                        <w:bottom w:val="none" w:sz="0" w:space="0" w:color="auto"/>
                        <w:right w:val="none" w:sz="0" w:space="0" w:color="auto"/>
                      </w:divBdr>
                      <w:divsChild>
                        <w:div w:id="1857111653">
                          <w:marLeft w:val="0"/>
                          <w:marRight w:val="0"/>
                          <w:marTop w:val="0"/>
                          <w:marBottom w:val="0"/>
                          <w:divBdr>
                            <w:top w:val="none" w:sz="0" w:space="0" w:color="auto"/>
                            <w:left w:val="none" w:sz="0" w:space="0" w:color="auto"/>
                            <w:bottom w:val="none" w:sz="0" w:space="0" w:color="auto"/>
                            <w:right w:val="none" w:sz="0" w:space="0" w:color="auto"/>
                          </w:divBdr>
                          <w:divsChild>
                            <w:div w:id="587692914">
                              <w:marLeft w:val="0"/>
                              <w:marRight w:val="0"/>
                              <w:marTop w:val="0"/>
                              <w:marBottom w:val="0"/>
                              <w:divBdr>
                                <w:top w:val="none" w:sz="0" w:space="0" w:color="auto"/>
                                <w:left w:val="none" w:sz="0" w:space="0" w:color="auto"/>
                                <w:bottom w:val="none" w:sz="0" w:space="0" w:color="auto"/>
                                <w:right w:val="none" w:sz="0" w:space="0" w:color="auto"/>
                              </w:divBdr>
                              <w:divsChild>
                                <w:div w:id="869414224">
                                  <w:marLeft w:val="0"/>
                                  <w:marRight w:val="0"/>
                                  <w:marTop w:val="0"/>
                                  <w:marBottom w:val="0"/>
                                  <w:divBdr>
                                    <w:top w:val="none" w:sz="0" w:space="0" w:color="auto"/>
                                    <w:left w:val="none" w:sz="0" w:space="0" w:color="auto"/>
                                    <w:bottom w:val="none" w:sz="0" w:space="0" w:color="auto"/>
                                    <w:right w:val="none" w:sz="0" w:space="0" w:color="auto"/>
                                  </w:divBdr>
                                </w:div>
                                <w:div w:id="1280651256">
                                  <w:marLeft w:val="0"/>
                                  <w:marRight w:val="0"/>
                                  <w:marTop w:val="0"/>
                                  <w:marBottom w:val="0"/>
                                  <w:divBdr>
                                    <w:top w:val="none" w:sz="0" w:space="0" w:color="auto"/>
                                    <w:left w:val="none" w:sz="0" w:space="0" w:color="auto"/>
                                    <w:bottom w:val="none" w:sz="0" w:space="0" w:color="auto"/>
                                    <w:right w:val="none" w:sz="0" w:space="0" w:color="auto"/>
                                  </w:divBdr>
                                </w:div>
                                <w:div w:id="1394043589">
                                  <w:marLeft w:val="0"/>
                                  <w:marRight w:val="0"/>
                                  <w:marTop w:val="0"/>
                                  <w:marBottom w:val="0"/>
                                  <w:divBdr>
                                    <w:top w:val="none" w:sz="0" w:space="0" w:color="auto"/>
                                    <w:left w:val="none" w:sz="0" w:space="0" w:color="auto"/>
                                    <w:bottom w:val="none" w:sz="0" w:space="0" w:color="auto"/>
                                    <w:right w:val="none" w:sz="0" w:space="0" w:color="auto"/>
                                  </w:divBdr>
                                </w:div>
                                <w:div w:id="487407485">
                                  <w:marLeft w:val="0"/>
                                  <w:marRight w:val="0"/>
                                  <w:marTop w:val="0"/>
                                  <w:marBottom w:val="0"/>
                                  <w:divBdr>
                                    <w:top w:val="none" w:sz="0" w:space="0" w:color="auto"/>
                                    <w:left w:val="none" w:sz="0" w:space="0" w:color="auto"/>
                                    <w:bottom w:val="none" w:sz="0" w:space="0" w:color="auto"/>
                                    <w:right w:val="none" w:sz="0" w:space="0" w:color="auto"/>
                                  </w:divBdr>
                                </w:div>
                                <w:div w:id="1172918366">
                                  <w:marLeft w:val="0"/>
                                  <w:marRight w:val="0"/>
                                  <w:marTop w:val="0"/>
                                  <w:marBottom w:val="0"/>
                                  <w:divBdr>
                                    <w:top w:val="none" w:sz="0" w:space="0" w:color="auto"/>
                                    <w:left w:val="none" w:sz="0" w:space="0" w:color="auto"/>
                                    <w:bottom w:val="none" w:sz="0" w:space="0" w:color="auto"/>
                                    <w:right w:val="none" w:sz="0" w:space="0" w:color="auto"/>
                                  </w:divBdr>
                                </w:div>
                                <w:div w:id="1348681165">
                                  <w:marLeft w:val="0"/>
                                  <w:marRight w:val="0"/>
                                  <w:marTop w:val="0"/>
                                  <w:marBottom w:val="0"/>
                                  <w:divBdr>
                                    <w:top w:val="none" w:sz="0" w:space="0" w:color="auto"/>
                                    <w:left w:val="none" w:sz="0" w:space="0" w:color="auto"/>
                                    <w:bottom w:val="none" w:sz="0" w:space="0" w:color="auto"/>
                                    <w:right w:val="none" w:sz="0" w:space="0" w:color="auto"/>
                                  </w:divBdr>
                                </w:div>
                                <w:div w:id="2142722743">
                                  <w:marLeft w:val="0"/>
                                  <w:marRight w:val="0"/>
                                  <w:marTop w:val="0"/>
                                  <w:marBottom w:val="0"/>
                                  <w:divBdr>
                                    <w:top w:val="none" w:sz="0" w:space="0" w:color="auto"/>
                                    <w:left w:val="none" w:sz="0" w:space="0" w:color="auto"/>
                                    <w:bottom w:val="none" w:sz="0" w:space="0" w:color="auto"/>
                                    <w:right w:val="none" w:sz="0" w:space="0" w:color="auto"/>
                                  </w:divBdr>
                                </w:div>
                                <w:div w:id="921337094">
                                  <w:marLeft w:val="0"/>
                                  <w:marRight w:val="0"/>
                                  <w:marTop w:val="0"/>
                                  <w:marBottom w:val="0"/>
                                  <w:divBdr>
                                    <w:top w:val="none" w:sz="0" w:space="0" w:color="auto"/>
                                    <w:left w:val="none" w:sz="0" w:space="0" w:color="auto"/>
                                    <w:bottom w:val="none" w:sz="0" w:space="0" w:color="auto"/>
                                    <w:right w:val="none" w:sz="0" w:space="0" w:color="auto"/>
                                  </w:divBdr>
                                </w:div>
                                <w:div w:id="1773668996">
                                  <w:marLeft w:val="720"/>
                                  <w:marRight w:val="0"/>
                                  <w:marTop w:val="0"/>
                                  <w:marBottom w:val="0"/>
                                  <w:divBdr>
                                    <w:top w:val="none" w:sz="0" w:space="0" w:color="auto"/>
                                    <w:left w:val="none" w:sz="0" w:space="0" w:color="auto"/>
                                    <w:bottom w:val="none" w:sz="0" w:space="0" w:color="auto"/>
                                    <w:right w:val="none" w:sz="0" w:space="0" w:color="auto"/>
                                  </w:divBdr>
                                </w:div>
                                <w:div w:id="1726947569">
                                  <w:marLeft w:val="720"/>
                                  <w:marRight w:val="0"/>
                                  <w:marTop w:val="0"/>
                                  <w:marBottom w:val="0"/>
                                  <w:divBdr>
                                    <w:top w:val="none" w:sz="0" w:space="0" w:color="auto"/>
                                    <w:left w:val="none" w:sz="0" w:space="0" w:color="auto"/>
                                    <w:bottom w:val="none" w:sz="0" w:space="0" w:color="auto"/>
                                    <w:right w:val="none" w:sz="0" w:space="0" w:color="auto"/>
                                  </w:divBdr>
                                </w:div>
                                <w:div w:id="1288388153">
                                  <w:marLeft w:val="720"/>
                                  <w:marRight w:val="0"/>
                                  <w:marTop w:val="0"/>
                                  <w:marBottom w:val="0"/>
                                  <w:divBdr>
                                    <w:top w:val="none" w:sz="0" w:space="0" w:color="auto"/>
                                    <w:left w:val="none" w:sz="0" w:space="0" w:color="auto"/>
                                    <w:bottom w:val="none" w:sz="0" w:space="0" w:color="auto"/>
                                    <w:right w:val="none" w:sz="0" w:space="0" w:color="auto"/>
                                  </w:divBdr>
                                </w:div>
                                <w:div w:id="694112260">
                                  <w:marLeft w:val="720"/>
                                  <w:marRight w:val="0"/>
                                  <w:marTop w:val="0"/>
                                  <w:marBottom w:val="0"/>
                                  <w:divBdr>
                                    <w:top w:val="none" w:sz="0" w:space="0" w:color="auto"/>
                                    <w:left w:val="none" w:sz="0" w:space="0" w:color="auto"/>
                                    <w:bottom w:val="none" w:sz="0" w:space="0" w:color="auto"/>
                                    <w:right w:val="none" w:sz="0" w:space="0" w:color="auto"/>
                                  </w:divBdr>
                                </w:div>
                                <w:div w:id="1114401443">
                                  <w:marLeft w:val="0"/>
                                  <w:marRight w:val="0"/>
                                  <w:marTop w:val="0"/>
                                  <w:marBottom w:val="0"/>
                                  <w:divBdr>
                                    <w:top w:val="none" w:sz="0" w:space="0" w:color="auto"/>
                                    <w:left w:val="none" w:sz="0" w:space="0" w:color="auto"/>
                                    <w:bottom w:val="none" w:sz="0" w:space="0" w:color="auto"/>
                                    <w:right w:val="none" w:sz="0" w:space="0" w:color="auto"/>
                                  </w:divBdr>
                                </w:div>
                                <w:div w:id="312417257">
                                  <w:marLeft w:val="0"/>
                                  <w:marRight w:val="0"/>
                                  <w:marTop w:val="0"/>
                                  <w:marBottom w:val="0"/>
                                  <w:divBdr>
                                    <w:top w:val="none" w:sz="0" w:space="0" w:color="auto"/>
                                    <w:left w:val="none" w:sz="0" w:space="0" w:color="auto"/>
                                    <w:bottom w:val="none" w:sz="0" w:space="0" w:color="auto"/>
                                    <w:right w:val="none" w:sz="0" w:space="0" w:color="auto"/>
                                  </w:divBdr>
                                </w:div>
                                <w:div w:id="941379248">
                                  <w:marLeft w:val="0"/>
                                  <w:marRight w:val="0"/>
                                  <w:marTop w:val="0"/>
                                  <w:marBottom w:val="0"/>
                                  <w:divBdr>
                                    <w:top w:val="none" w:sz="0" w:space="0" w:color="auto"/>
                                    <w:left w:val="none" w:sz="0" w:space="0" w:color="auto"/>
                                    <w:bottom w:val="none" w:sz="0" w:space="0" w:color="auto"/>
                                    <w:right w:val="none" w:sz="0" w:space="0" w:color="auto"/>
                                  </w:divBdr>
                                </w:div>
                                <w:div w:id="1652175495">
                                  <w:marLeft w:val="0"/>
                                  <w:marRight w:val="0"/>
                                  <w:marTop w:val="0"/>
                                  <w:marBottom w:val="0"/>
                                  <w:divBdr>
                                    <w:top w:val="none" w:sz="0" w:space="0" w:color="auto"/>
                                    <w:left w:val="none" w:sz="0" w:space="0" w:color="auto"/>
                                    <w:bottom w:val="none" w:sz="0" w:space="0" w:color="auto"/>
                                    <w:right w:val="none" w:sz="0" w:space="0" w:color="auto"/>
                                  </w:divBdr>
                                </w:div>
                                <w:div w:id="1869223018">
                                  <w:marLeft w:val="0"/>
                                  <w:marRight w:val="0"/>
                                  <w:marTop w:val="0"/>
                                  <w:marBottom w:val="0"/>
                                  <w:divBdr>
                                    <w:top w:val="none" w:sz="0" w:space="0" w:color="auto"/>
                                    <w:left w:val="none" w:sz="0" w:space="0" w:color="auto"/>
                                    <w:bottom w:val="none" w:sz="0" w:space="0" w:color="auto"/>
                                    <w:right w:val="none" w:sz="0" w:space="0" w:color="auto"/>
                                  </w:divBdr>
                                </w:div>
                                <w:div w:id="1058015416">
                                  <w:marLeft w:val="0"/>
                                  <w:marRight w:val="0"/>
                                  <w:marTop w:val="0"/>
                                  <w:marBottom w:val="0"/>
                                  <w:divBdr>
                                    <w:top w:val="none" w:sz="0" w:space="0" w:color="auto"/>
                                    <w:left w:val="none" w:sz="0" w:space="0" w:color="auto"/>
                                    <w:bottom w:val="none" w:sz="0" w:space="0" w:color="auto"/>
                                    <w:right w:val="none" w:sz="0" w:space="0" w:color="auto"/>
                                  </w:divBdr>
                                </w:div>
                                <w:div w:id="280919826">
                                  <w:marLeft w:val="0"/>
                                  <w:marRight w:val="0"/>
                                  <w:marTop w:val="0"/>
                                  <w:marBottom w:val="0"/>
                                  <w:divBdr>
                                    <w:top w:val="none" w:sz="0" w:space="0" w:color="auto"/>
                                    <w:left w:val="none" w:sz="0" w:space="0" w:color="auto"/>
                                    <w:bottom w:val="none" w:sz="0" w:space="0" w:color="auto"/>
                                    <w:right w:val="none" w:sz="0" w:space="0" w:color="auto"/>
                                  </w:divBdr>
                                </w:div>
                                <w:div w:id="215163818">
                                  <w:marLeft w:val="720"/>
                                  <w:marRight w:val="0"/>
                                  <w:marTop w:val="0"/>
                                  <w:marBottom w:val="0"/>
                                  <w:divBdr>
                                    <w:top w:val="none" w:sz="0" w:space="0" w:color="auto"/>
                                    <w:left w:val="none" w:sz="0" w:space="0" w:color="auto"/>
                                    <w:bottom w:val="none" w:sz="0" w:space="0" w:color="auto"/>
                                    <w:right w:val="none" w:sz="0" w:space="0" w:color="auto"/>
                                  </w:divBdr>
                                </w:div>
                                <w:div w:id="1265960422">
                                  <w:marLeft w:val="720"/>
                                  <w:marRight w:val="0"/>
                                  <w:marTop w:val="0"/>
                                  <w:marBottom w:val="0"/>
                                  <w:divBdr>
                                    <w:top w:val="none" w:sz="0" w:space="0" w:color="auto"/>
                                    <w:left w:val="none" w:sz="0" w:space="0" w:color="auto"/>
                                    <w:bottom w:val="none" w:sz="0" w:space="0" w:color="auto"/>
                                    <w:right w:val="none" w:sz="0" w:space="0" w:color="auto"/>
                                  </w:divBdr>
                                </w:div>
                                <w:div w:id="1662854955">
                                  <w:marLeft w:val="720"/>
                                  <w:marRight w:val="0"/>
                                  <w:marTop w:val="0"/>
                                  <w:marBottom w:val="0"/>
                                  <w:divBdr>
                                    <w:top w:val="none" w:sz="0" w:space="0" w:color="auto"/>
                                    <w:left w:val="none" w:sz="0" w:space="0" w:color="auto"/>
                                    <w:bottom w:val="none" w:sz="0" w:space="0" w:color="auto"/>
                                    <w:right w:val="none" w:sz="0" w:space="0" w:color="auto"/>
                                  </w:divBdr>
                                </w:div>
                                <w:div w:id="765155513">
                                  <w:marLeft w:val="0"/>
                                  <w:marRight w:val="0"/>
                                  <w:marTop w:val="0"/>
                                  <w:marBottom w:val="0"/>
                                  <w:divBdr>
                                    <w:top w:val="none" w:sz="0" w:space="0" w:color="auto"/>
                                    <w:left w:val="none" w:sz="0" w:space="0" w:color="auto"/>
                                    <w:bottom w:val="none" w:sz="0" w:space="0" w:color="auto"/>
                                    <w:right w:val="none" w:sz="0" w:space="0" w:color="auto"/>
                                  </w:divBdr>
                                </w:div>
                                <w:div w:id="1100371450">
                                  <w:marLeft w:val="0"/>
                                  <w:marRight w:val="0"/>
                                  <w:marTop w:val="0"/>
                                  <w:marBottom w:val="0"/>
                                  <w:divBdr>
                                    <w:top w:val="none" w:sz="0" w:space="0" w:color="auto"/>
                                    <w:left w:val="none" w:sz="0" w:space="0" w:color="auto"/>
                                    <w:bottom w:val="none" w:sz="0" w:space="0" w:color="auto"/>
                                    <w:right w:val="none" w:sz="0" w:space="0" w:color="auto"/>
                                  </w:divBdr>
                                </w:div>
                                <w:div w:id="2128503272">
                                  <w:marLeft w:val="0"/>
                                  <w:marRight w:val="0"/>
                                  <w:marTop w:val="0"/>
                                  <w:marBottom w:val="0"/>
                                  <w:divBdr>
                                    <w:top w:val="none" w:sz="0" w:space="0" w:color="auto"/>
                                    <w:left w:val="none" w:sz="0" w:space="0" w:color="auto"/>
                                    <w:bottom w:val="none" w:sz="0" w:space="0" w:color="auto"/>
                                    <w:right w:val="none" w:sz="0" w:space="0" w:color="auto"/>
                                  </w:divBdr>
                                </w:div>
                                <w:div w:id="473717742">
                                  <w:marLeft w:val="0"/>
                                  <w:marRight w:val="0"/>
                                  <w:marTop w:val="0"/>
                                  <w:marBottom w:val="0"/>
                                  <w:divBdr>
                                    <w:top w:val="none" w:sz="0" w:space="0" w:color="auto"/>
                                    <w:left w:val="none" w:sz="0" w:space="0" w:color="auto"/>
                                    <w:bottom w:val="none" w:sz="0" w:space="0" w:color="auto"/>
                                    <w:right w:val="none" w:sz="0" w:space="0" w:color="auto"/>
                                  </w:divBdr>
                                </w:div>
                                <w:div w:id="1401253566">
                                  <w:marLeft w:val="720"/>
                                  <w:marRight w:val="0"/>
                                  <w:marTop w:val="0"/>
                                  <w:marBottom w:val="0"/>
                                  <w:divBdr>
                                    <w:top w:val="none" w:sz="0" w:space="0" w:color="auto"/>
                                    <w:left w:val="none" w:sz="0" w:space="0" w:color="auto"/>
                                    <w:bottom w:val="none" w:sz="0" w:space="0" w:color="auto"/>
                                    <w:right w:val="none" w:sz="0" w:space="0" w:color="auto"/>
                                  </w:divBdr>
                                </w:div>
                                <w:div w:id="303773668">
                                  <w:marLeft w:val="720"/>
                                  <w:marRight w:val="0"/>
                                  <w:marTop w:val="0"/>
                                  <w:marBottom w:val="0"/>
                                  <w:divBdr>
                                    <w:top w:val="none" w:sz="0" w:space="0" w:color="auto"/>
                                    <w:left w:val="none" w:sz="0" w:space="0" w:color="auto"/>
                                    <w:bottom w:val="none" w:sz="0" w:space="0" w:color="auto"/>
                                    <w:right w:val="none" w:sz="0" w:space="0" w:color="auto"/>
                                  </w:divBdr>
                                </w:div>
                                <w:div w:id="1346133452">
                                  <w:marLeft w:val="720"/>
                                  <w:marRight w:val="0"/>
                                  <w:marTop w:val="0"/>
                                  <w:marBottom w:val="0"/>
                                  <w:divBdr>
                                    <w:top w:val="none" w:sz="0" w:space="0" w:color="auto"/>
                                    <w:left w:val="none" w:sz="0" w:space="0" w:color="auto"/>
                                    <w:bottom w:val="none" w:sz="0" w:space="0" w:color="auto"/>
                                    <w:right w:val="none" w:sz="0" w:space="0" w:color="auto"/>
                                  </w:divBdr>
                                </w:div>
                                <w:div w:id="2122646510">
                                  <w:marLeft w:val="720"/>
                                  <w:marRight w:val="0"/>
                                  <w:marTop w:val="0"/>
                                  <w:marBottom w:val="0"/>
                                  <w:divBdr>
                                    <w:top w:val="none" w:sz="0" w:space="0" w:color="auto"/>
                                    <w:left w:val="none" w:sz="0" w:space="0" w:color="auto"/>
                                    <w:bottom w:val="none" w:sz="0" w:space="0" w:color="auto"/>
                                    <w:right w:val="none" w:sz="0" w:space="0" w:color="auto"/>
                                  </w:divBdr>
                                </w:div>
                                <w:div w:id="1064984658">
                                  <w:marLeft w:val="0"/>
                                  <w:marRight w:val="0"/>
                                  <w:marTop w:val="0"/>
                                  <w:marBottom w:val="0"/>
                                  <w:divBdr>
                                    <w:top w:val="none" w:sz="0" w:space="0" w:color="auto"/>
                                    <w:left w:val="none" w:sz="0" w:space="0" w:color="auto"/>
                                    <w:bottom w:val="none" w:sz="0" w:space="0" w:color="auto"/>
                                    <w:right w:val="none" w:sz="0" w:space="0" w:color="auto"/>
                                  </w:divBdr>
                                </w:div>
                                <w:div w:id="1166894831">
                                  <w:marLeft w:val="0"/>
                                  <w:marRight w:val="0"/>
                                  <w:marTop w:val="0"/>
                                  <w:marBottom w:val="0"/>
                                  <w:divBdr>
                                    <w:top w:val="none" w:sz="0" w:space="0" w:color="auto"/>
                                    <w:left w:val="none" w:sz="0" w:space="0" w:color="auto"/>
                                    <w:bottom w:val="none" w:sz="0" w:space="0" w:color="auto"/>
                                    <w:right w:val="none" w:sz="0" w:space="0" w:color="auto"/>
                                  </w:divBdr>
                                </w:div>
                                <w:div w:id="107820556">
                                  <w:marLeft w:val="0"/>
                                  <w:marRight w:val="0"/>
                                  <w:marTop w:val="0"/>
                                  <w:marBottom w:val="0"/>
                                  <w:divBdr>
                                    <w:top w:val="none" w:sz="0" w:space="0" w:color="auto"/>
                                    <w:left w:val="none" w:sz="0" w:space="0" w:color="auto"/>
                                    <w:bottom w:val="none" w:sz="0" w:space="0" w:color="auto"/>
                                    <w:right w:val="none" w:sz="0" w:space="0" w:color="auto"/>
                                  </w:divBdr>
                                </w:div>
                                <w:div w:id="2036886397">
                                  <w:marLeft w:val="0"/>
                                  <w:marRight w:val="0"/>
                                  <w:marTop w:val="0"/>
                                  <w:marBottom w:val="0"/>
                                  <w:divBdr>
                                    <w:top w:val="none" w:sz="0" w:space="0" w:color="auto"/>
                                    <w:left w:val="none" w:sz="0" w:space="0" w:color="auto"/>
                                    <w:bottom w:val="none" w:sz="0" w:space="0" w:color="auto"/>
                                    <w:right w:val="none" w:sz="0" w:space="0" w:color="auto"/>
                                  </w:divBdr>
                                </w:div>
                                <w:div w:id="872809988">
                                  <w:marLeft w:val="720"/>
                                  <w:marRight w:val="0"/>
                                  <w:marTop w:val="0"/>
                                  <w:marBottom w:val="0"/>
                                  <w:divBdr>
                                    <w:top w:val="none" w:sz="0" w:space="0" w:color="auto"/>
                                    <w:left w:val="none" w:sz="0" w:space="0" w:color="auto"/>
                                    <w:bottom w:val="none" w:sz="0" w:space="0" w:color="auto"/>
                                    <w:right w:val="none" w:sz="0" w:space="0" w:color="auto"/>
                                  </w:divBdr>
                                </w:div>
                                <w:div w:id="1204946440">
                                  <w:marLeft w:val="1440"/>
                                  <w:marRight w:val="0"/>
                                  <w:marTop w:val="0"/>
                                  <w:marBottom w:val="0"/>
                                  <w:divBdr>
                                    <w:top w:val="none" w:sz="0" w:space="0" w:color="auto"/>
                                    <w:left w:val="none" w:sz="0" w:space="0" w:color="auto"/>
                                    <w:bottom w:val="none" w:sz="0" w:space="0" w:color="auto"/>
                                    <w:right w:val="none" w:sz="0" w:space="0" w:color="auto"/>
                                  </w:divBdr>
                                </w:div>
                                <w:div w:id="1581599818">
                                  <w:marLeft w:val="1440"/>
                                  <w:marRight w:val="0"/>
                                  <w:marTop w:val="0"/>
                                  <w:marBottom w:val="0"/>
                                  <w:divBdr>
                                    <w:top w:val="none" w:sz="0" w:space="0" w:color="auto"/>
                                    <w:left w:val="none" w:sz="0" w:space="0" w:color="auto"/>
                                    <w:bottom w:val="none" w:sz="0" w:space="0" w:color="auto"/>
                                    <w:right w:val="none" w:sz="0" w:space="0" w:color="auto"/>
                                  </w:divBdr>
                                </w:div>
                                <w:div w:id="111767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65039">
          <w:marLeft w:val="0"/>
          <w:marRight w:val="0"/>
          <w:marTop w:val="0"/>
          <w:marBottom w:val="0"/>
          <w:divBdr>
            <w:top w:val="none" w:sz="0" w:space="0" w:color="auto"/>
            <w:left w:val="none" w:sz="0" w:space="0" w:color="auto"/>
            <w:bottom w:val="none" w:sz="0" w:space="0" w:color="auto"/>
            <w:right w:val="none" w:sz="0" w:space="0" w:color="auto"/>
          </w:divBdr>
          <w:divsChild>
            <w:div w:id="19761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ca.wa.gov/assets/program/health-information-technology-strategic-roadmap.pdf" TargetMode="External"/><Relationship Id="rId13" Type="http://schemas.openxmlformats.org/officeDocument/2006/relationships/header" Target="header2.xml"/><Relationship Id="rId18" Type="http://schemas.openxmlformats.org/officeDocument/2006/relationships/chart" Target="charts/chart5.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baseline="0"/>
              <a:t>All CCDs Attempts to PROD</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Documents Submitted per Month </c:v>
                </c:pt>
              </c:strCache>
            </c:strRef>
          </c:tx>
          <c:spPr>
            <a:solidFill>
              <a:schemeClr val="accent1"/>
            </a:solidFill>
            <a:ln>
              <a:noFill/>
            </a:ln>
            <a:effectLst/>
          </c:spPr>
          <c:invertIfNegative val="0"/>
          <c:dLbls>
            <c:numFmt formatCode="[&gt;=1000]#,##0,\ &quot;K&quot;;0" sourceLinked="0"/>
            <c:spPr>
              <a:noFill/>
              <a:ln>
                <a:noFill/>
              </a:ln>
              <a:effectLst/>
            </c:spPr>
            <c:txPr>
              <a:bodyPr rot="-12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Feb</c:v>
                </c:pt>
                <c:pt idx="1">
                  <c:v>Mar</c:v>
                </c:pt>
                <c:pt idx="2">
                  <c:v>Apr</c:v>
                </c:pt>
                <c:pt idx="3">
                  <c:v>May</c:v>
                </c:pt>
                <c:pt idx="4">
                  <c:v>Jun</c:v>
                </c:pt>
                <c:pt idx="5">
                  <c:v>Jul</c:v>
                </c:pt>
              </c:strCache>
            </c:strRef>
          </c:cat>
          <c:val>
            <c:numRef>
              <c:f>Sheet1!$B$2:$B$7</c:f>
              <c:numCache>
                <c:formatCode>General</c:formatCode>
                <c:ptCount val="6"/>
                <c:pt idx="0">
                  <c:v>442539</c:v>
                </c:pt>
                <c:pt idx="1">
                  <c:v>581654</c:v>
                </c:pt>
                <c:pt idx="2">
                  <c:v>523576</c:v>
                </c:pt>
                <c:pt idx="3">
                  <c:v>629284</c:v>
                </c:pt>
                <c:pt idx="4">
                  <c:v>684535</c:v>
                </c:pt>
                <c:pt idx="5">
                  <c:v>638484</c:v>
                </c:pt>
              </c:numCache>
            </c:numRef>
          </c:val>
          <c:extLst>
            <c:ext xmlns:c16="http://schemas.microsoft.com/office/drawing/2014/chart" uri="{C3380CC4-5D6E-409C-BE32-E72D297353CC}">
              <c16:uniqueId val="{00000000-E5E3-4CEC-B11E-903AD45B4C6D}"/>
            </c:ext>
          </c:extLst>
        </c:ser>
        <c:dLbls>
          <c:dLblPos val="outEnd"/>
          <c:showLegendKey val="0"/>
          <c:showVal val="1"/>
          <c:showCatName val="0"/>
          <c:showSerName val="0"/>
          <c:showPercent val="0"/>
          <c:showBubbleSize val="0"/>
        </c:dLbls>
        <c:gapWidth val="219"/>
        <c:overlap val="-27"/>
        <c:axId val="37742848"/>
        <c:axId val="37782656"/>
      </c:barChart>
      <c:catAx>
        <c:axId val="377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82656"/>
        <c:crosses val="autoZero"/>
        <c:auto val="1"/>
        <c:lblAlgn val="ctr"/>
        <c:lblOffset val="100"/>
        <c:noMultiLvlLbl val="1"/>
      </c:catAx>
      <c:valAx>
        <c:axId val="3778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42848"/>
        <c:crosses val="autoZero"/>
        <c:crossBetween val="between"/>
        <c:majorUnit val="15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t" anchorCtr="0"/>
          <a:lstStyle/>
          <a:p>
            <a:pPr>
              <a:defRPr sz="1200" b="1" i="0" u="none" strike="noStrike" kern="1200" spc="0" baseline="0">
                <a:solidFill>
                  <a:schemeClr val="tx1">
                    <a:lumMod val="65000"/>
                    <a:lumOff val="35000"/>
                  </a:schemeClr>
                </a:solidFill>
                <a:latin typeface="+mn-lt"/>
                <a:ea typeface="+mn-ea"/>
                <a:cs typeface="+mn-cs"/>
              </a:defRPr>
            </a:pPr>
            <a:r>
              <a:rPr lang="en-US" sz="1200" b="1" baseline="0"/>
              <a:t>Successful CCDs to PROD</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Documents Submitted per Month </c:v>
                </c:pt>
              </c:strCache>
            </c:strRef>
          </c:tx>
          <c:spPr>
            <a:solidFill>
              <a:schemeClr val="accent4"/>
            </a:solidFill>
            <a:ln>
              <a:solidFill>
                <a:schemeClr val="accent2">
                  <a:lumMod val="40000"/>
                  <a:lumOff val="60000"/>
                </a:schemeClr>
              </a:solidFill>
            </a:ln>
            <a:effectLst/>
          </c:spPr>
          <c:invertIfNegative val="0"/>
          <c:dLbls>
            <c:numFmt formatCode="[&gt;=1000]#,##0,\ &quot;K&quot;;0" sourceLinked="0"/>
            <c:spPr>
              <a:noFill/>
              <a:ln>
                <a:noFill/>
              </a:ln>
              <a:effectLst/>
            </c:spPr>
            <c:txPr>
              <a:bodyPr rot="-12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Feb</c:v>
                </c:pt>
                <c:pt idx="1">
                  <c:v>Mar</c:v>
                </c:pt>
                <c:pt idx="2">
                  <c:v>Apr</c:v>
                </c:pt>
                <c:pt idx="3">
                  <c:v>May</c:v>
                </c:pt>
                <c:pt idx="4">
                  <c:v>Jun</c:v>
                </c:pt>
                <c:pt idx="5">
                  <c:v>Jul</c:v>
                </c:pt>
              </c:strCache>
            </c:strRef>
          </c:cat>
          <c:val>
            <c:numRef>
              <c:f>Sheet1!$B$2:$B$7</c:f>
              <c:numCache>
                <c:formatCode>General</c:formatCode>
                <c:ptCount val="6"/>
                <c:pt idx="0">
                  <c:v>355665</c:v>
                </c:pt>
                <c:pt idx="1">
                  <c:v>494162</c:v>
                </c:pt>
                <c:pt idx="2">
                  <c:v>454929</c:v>
                </c:pt>
                <c:pt idx="3">
                  <c:v>538449</c:v>
                </c:pt>
                <c:pt idx="4">
                  <c:v>577996</c:v>
                </c:pt>
                <c:pt idx="5">
                  <c:v>552124</c:v>
                </c:pt>
              </c:numCache>
            </c:numRef>
          </c:val>
          <c:extLst>
            <c:ext xmlns:c16="http://schemas.microsoft.com/office/drawing/2014/chart" uri="{C3380CC4-5D6E-409C-BE32-E72D297353CC}">
              <c16:uniqueId val="{00000000-A03B-4894-9521-9872721DBCD0}"/>
            </c:ext>
          </c:extLst>
        </c:ser>
        <c:dLbls>
          <c:dLblPos val="outEnd"/>
          <c:showLegendKey val="0"/>
          <c:showVal val="1"/>
          <c:showCatName val="0"/>
          <c:showSerName val="0"/>
          <c:showPercent val="0"/>
          <c:showBubbleSize val="0"/>
        </c:dLbls>
        <c:gapWidth val="219"/>
        <c:overlap val="-27"/>
        <c:axId val="37876864"/>
        <c:axId val="37879808"/>
      </c:barChart>
      <c:catAx>
        <c:axId val="3787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9808"/>
        <c:crosses val="autoZero"/>
        <c:auto val="1"/>
        <c:lblAlgn val="ctr"/>
        <c:lblOffset val="100"/>
        <c:noMultiLvlLbl val="1"/>
      </c:catAx>
      <c:valAx>
        <c:axId val="3787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6864"/>
        <c:crosses val="autoZero"/>
        <c:crossBetween val="between"/>
        <c:majorUnit val="15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baseline="0"/>
              <a:t>CCD Submission Success Rates</a:t>
            </a:r>
          </a:p>
        </c:rich>
      </c:tx>
      <c:layout>
        <c:manualLayout>
          <c:xMode val="edge"/>
          <c:yMode val="edge"/>
          <c:x val="0.16592038898363512"/>
          <c:y val="0"/>
        </c:manualLayout>
      </c:layout>
      <c:overlay val="0"/>
      <c:spPr>
        <a:noFill/>
        <a:ln>
          <a:noFill/>
        </a:ln>
        <a:effectLst/>
      </c:spPr>
    </c:title>
    <c:autoTitleDeleted val="0"/>
    <c:plotArea>
      <c:layout>
        <c:manualLayout>
          <c:layoutTarget val="inner"/>
          <c:xMode val="edge"/>
          <c:yMode val="edge"/>
          <c:x val="0.14824750149818297"/>
          <c:y val="0.27392661982825917"/>
          <c:w val="0.80511268506107081"/>
          <c:h val="0.35079324100880832"/>
        </c:manualLayout>
      </c:layout>
      <c:barChart>
        <c:barDir val="col"/>
        <c:grouping val="stacked"/>
        <c:varyColors val="0"/>
        <c:ser>
          <c:idx val="0"/>
          <c:order val="0"/>
          <c:tx>
            <c:strRef>
              <c:f>Sheet1!$B$1</c:f>
              <c:strCache>
                <c:ptCount val="1"/>
                <c:pt idx="0">
                  <c:v>Under 50%</c:v>
                </c:pt>
              </c:strCache>
            </c:strRef>
          </c:tx>
          <c:spPr>
            <a:solidFill>
              <a:srgbClr val="FF6565"/>
            </a:solidFill>
            <a:effectLst/>
          </c:spPr>
          <c:invertIfNegative val="0"/>
          <c:dLbls>
            <c:spPr>
              <a:noFill/>
              <a:ln>
                <a:noFill/>
              </a:ln>
              <a:effectLst/>
            </c:spPr>
            <c:txPr>
              <a:bodyPr wrap="square" lIns="38100" tIns="19050" rIns="38100" bIns="19050" anchor="ctr">
                <a:spAutoFit/>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6"/>
                <c:pt idx="0">
                  <c:v>Feb</c:v>
                </c:pt>
                <c:pt idx="1">
                  <c:v>Mar</c:v>
                </c:pt>
                <c:pt idx="2">
                  <c:v>Apr</c:v>
                </c:pt>
                <c:pt idx="3">
                  <c:v>May</c:v>
                </c:pt>
                <c:pt idx="4">
                  <c:v>Jun</c:v>
                </c:pt>
                <c:pt idx="5">
                  <c:v>Jul</c:v>
                </c:pt>
              </c:strCache>
            </c:strRef>
          </c:cat>
          <c:val>
            <c:numRef>
              <c:f>Sheet1!$B$2:$B$7</c:f>
              <c:numCache>
                <c:formatCode>#,##0</c:formatCode>
                <c:ptCount val="6"/>
                <c:pt idx="0">
                  <c:v>10</c:v>
                </c:pt>
                <c:pt idx="1">
                  <c:v>4</c:v>
                </c:pt>
                <c:pt idx="2">
                  <c:v>2</c:v>
                </c:pt>
                <c:pt idx="3">
                  <c:v>5</c:v>
                </c:pt>
                <c:pt idx="4">
                  <c:v>5</c:v>
                </c:pt>
                <c:pt idx="5">
                  <c:v>4</c:v>
                </c:pt>
              </c:numCache>
            </c:numRef>
          </c:val>
          <c:extLst>
            <c:ext xmlns:c16="http://schemas.microsoft.com/office/drawing/2014/chart" uri="{C3380CC4-5D6E-409C-BE32-E72D297353CC}">
              <c16:uniqueId val="{00000000-DC1C-4CC8-8472-9EA92B3EDEDE}"/>
            </c:ext>
          </c:extLst>
        </c:ser>
        <c:ser>
          <c:idx val="1"/>
          <c:order val="1"/>
          <c:tx>
            <c:strRef>
              <c:f>Sheet1!$C$1</c:f>
              <c:strCache>
                <c:ptCount val="1"/>
                <c:pt idx="0">
                  <c:v>50% to 74.9%</c:v>
                </c:pt>
              </c:strCache>
            </c:strRef>
          </c:tx>
          <c:spPr>
            <a:solidFill>
              <a:srgbClr val="FFC000"/>
            </a:solidFill>
          </c:spPr>
          <c:invertIfNegative val="0"/>
          <c:dLbls>
            <c:dLbl>
              <c:idx val="5"/>
              <c:layout>
                <c:manualLayout>
                  <c:x val="-1.6092272589465693E-16"/>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C1C-4CC8-8472-9EA92B3EDEDE}"/>
                </c:ext>
              </c:extLst>
            </c:dLbl>
            <c:spPr>
              <a:noFill/>
              <a:ln>
                <a:noFill/>
              </a:ln>
              <a:effectLst/>
            </c:spPr>
            <c:txPr>
              <a:bodyPr wrap="square" lIns="38100" tIns="19050" rIns="38100" bIns="19050" anchor="ctr">
                <a:spAutoFit/>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Feb</c:v>
                </c:pt>
                <c:pt idx="1">
                  <c:v>Mar</c:v>
                </c:pt>
                <c:pt idx="2">
                  <c:v>Apr</c:v>
                </c:pt>
                <c:pt idx="3">
                  <c:v>May</c:v>
                </c:pt>
                <c:pt idx="4">
                  <c:v>Jun</c:v>
                </c:pt>
                <c:pt idx="5">
                  <c:v>Jul</c:v>
                </c:pt>
              </c:strCache>
            </c:strRef>
          </c:cat>
          <c:val>
            <c:numRef>
              <c:f>Sheet1!$C$2:$C$7</c:f>
              <c:numCache>
                <c:formatCode>#,##0</c:formatCode>
                <c:ptCount val="6"/>
                <c:pt idx="0">
                  <c:v>21</c:v>
                </c:pt>
                <c:pt idx="1">
                  <c:v>16</c:v>
                </c:pt>
                <c:pt idx="2">
                  <c:v>13</c:v>
                </c:pt>
                <c:pt idx="3">
                  <c:v>17</c:v>
                </c:pt>
                <c:pt idx="4">
                  <c:v>10</c:v>
                </c:pt>
                <c:pt idx="5">
                  <c:v>12</c:v>
                </c:pt>
              </c:numCache>
            </c:numRef>
          </c:val>
          <c:extLst>
            <c:ext xmlns:c16="http://schemas.microsoft.com/office/drawing/2014/chart" uri="{C3380CC4-5D6E-409C-BE32-E72D297353CC}">
              <c16:uniqueId val="{00000002-DC1C-4CC8-8472-9EA92B3EDEDE}"/>
            </c:ext>
          </c:extLst>
        </c:ser>
        <c:ser>
          <c:idx val="2"/>
          <c:order val="2"/>
          <c:tx>
            <c:strRef>
              <c:f>Sheet1!$D$1</c:f>
              <c:strCache>
                <c:ptCount val="1"/>
                <c:pt idx="0">
                  <c:v>75% to 84.9% </c:v>
                </c:pt>
              </c:strCache>
            </c:strRef>
          </c:tx>
          <c:spPr>
            <a:solidFill>
              <a:srgbClr val="FFFF00"/>
            </a:solidFill>
          </c:spPr>
          <c:invertIfNegative val="0"/>
          <c:dLbls>
            <c:dLbl>
              <c:idx val="5"/>
              <c:layout>
                <c:manualLayout>
                  <c:x val="-1.6092272589465693E-16"/>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C1C-4CC8-8472-9EA92B3EDEDE}"/>
                </c:ext>
              </c:extLst>
            </c:dLbl>
            <c:spPr>
              <a:noFill/>
              <a:ln>
                <a:noFill/>
              </a:ln>
              <a:effectLst/>
            </c:spPr>
            <c:txPr>
              <a:bodyPr wrap="square" lIns="38100" tIns="19050" rIns="38100" bIns="19050" anchor="ctr">
                <a:spAutoFit/>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6"/>
                <c:pt idx="0">
                  <c:v>Feb</c:v>
                </c:pt>
                <c:pt idx="1">
                  <c:v>Mar</c:v>
                </c:pt>
                <c:pt idx="2">
                  <c:v>Apr</c:v>
                </c:pt>
                <c:pt idx="3">
                  <c:v>May</c:v>
                </c:pt>
                <c:pt idx="4">
                  <c:v>Jun</c:v>
                </c:pt>
                <c:pt idx="5">
                  <c:v>Jul</c:v>
                </c:pt>
              </c:strCache>
            </c:strRef>
          </c:cat>
          <c:val>
            <c:numRef>
              <c:f>Sheet1!$D$2:$D$7</c:f>
              <c:numCache>
                <c:formatCode>#,##0</c:formatCode>
                <c:ptCount val="6"/>
                <c:pt idx="0">
                  <c:v>10</c:v>
                </c:pt>
                <c:pt idx="1">
                  <c:v>15</c:v>
                </c:pt>
                <c:pt idx="2">
                  <c:v>18</c:v>
                </c:pt>
                <c:pt idx="3">
                  <c:v>15</c:v>
                </c:pt>
                <c:pt idx="4">
                  <c:v>15</c:v>
                </c:pt>
                <c:pt idx="5">
                  <c:v>17</c:v>
                </c:pt>
              </c:numCache>
            </c:numRef>
          </c:val>
          <c:extLst>
            <c:ext xmlns:c16="http://schemas.microsoft.com/office/drawing/2014/chart" uri="{C3380CC4-5D6E-409C-BE32-E72D297353CC}">
              <c16:uniqueId val="{00000004-DC1C-4CC8-8472-9EA92B3EDEDE}"/>
            </c:ext>
          </c:extLst>
        </c:ser>
        <c:ser>
          <c:idx val="3"/>
          <c:order val="3"/>
          <c:tx>
            <c:strRef>
              <c:f>Sheet1!$E$1</c:f>
              <c:strCache>
                <c:ptCount val="1"/>
                <c:pt idx="0">
                  <c:v>85% to 100%</c:v>
                </c:pt>
              </c:strCache>
            </c:strRef>
          </c:tx>
          <c:spPr>
            <a:solidFill>
              <a:srgbClr val="00E266"/>
            </a:solidFill>
          </c:spPr>
          <c:invertIfNegative val="0"/>
          <c:dLbls>
            <c:spPr>
              <a:noFill/>
              <a:ln>
                <a:noFill/>
              </a:ln>
              <a:effectLst/>
            </c:spPr>
            <c:txPr>
              <a:bodyPr rot="0" wrap="square" lIns="38100" tIns="19050" rIns="38100" bIns="19050" anchor="ctr">
                <a:spAutoFit/>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6"/>
                <c:pt idx="0">
                  <c:v>Feb</c:v>
                </c:pt>
                <c:pt idx="1">
                  <c:v>Mar</c:v>
                </c:pt>
                <c:pt idx="2">
                  <c:v>Apr</c:v>
                </c:pt>
                <c:pt idx="3">
                  <c:v>May</c:v>
                </c:pt>
                <c:pt idx="4">
                  <c:v>Jun</c:v>
                </c:pt>
                <c:pt idx="5">
                  <c:v>Jul</c:v>
                </c:pt>
              </c:strCache>
            </c:strRef>
          </c:cat>
          <c:val>
            <c:numRef>
              <c:f>Sheet1!$E$2:$E$7</c:f>
              <c:numCache>
                <c:formatCode>#,##0</c:formatCode>
                <c:ptCount val="6"/>
                <c:pt idx="0">
                  <c:v>32</c:v>
                </c:pt>
                <c:pt idx="1">
                  <c:v>44</c:v>
                </c:pt>
                <c:pt idx="2">
                  <c:v>46</c:v>
                </c:pt>
                <c:pt idx="3">
                  <c:v>49</c:v>
                </c:pt>
                <c:pt idx="4">
                  <c:v>48</c:v>
                </c:pt>
                <c:pt idx="5">
                  <c:v>42</c:v>
                </c:pt>
              </c:numCache>
            </c:numRef>
          </c:val>
          <c:extLst>
            <c:ext xmlns:c16="http://schemas.microsoft.com/office/drawing/2014/chart" uri="{C3380CC4-5D6E-409C-BE32-E72D297353CC}">
              <c16:uniqueId val="{00000005-DC1C-4CC8-8472-9EA92B3EDEDE}"/>
            </c:ext>
          </c:extLst>
        </c:ser>
        <c:dLbls>
          <c:showLegendKey val="0"/>
          <c:showVal val="0"/>
          <c:showCatName val="0"/>
          <c:showSerName val="0"/>
          <c:showPercent val="0"/>
          <c:showBubbleSize val="0"/>
        </c:dLbls>
        <c:gapWidth val="150"/>
        <c:overlap val="100"/>
        <c:axId val="37900288"/>
        <c:axId val="37901824"/>
      </c:barChart>
      <c:catAx>
        <c:axId val="379002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01824"/>
        <c:crosses val="autoZero"/>
        <c:auto val="1"/>
        <c:lblAlgn val="ctr"/>
        <c:lblOffset val="100"/>
        <c:noMultiLvlLbl val="0"/>
      </c:catAx>
      <c:valAx>
        <c:axId val="37901824"/>
        <c:scaling>
          <c:orientation val="minMax"/>
          <c:max val="100"/>
          <c:min val="0"/>
        </c:scaling>
        <c:delete val="0"/>
        <c:axPos val="l"/>
        <c:majorGridlines>
          <c:spPr>
            <a:ln w="9525" cap="flat" cmpd="sng" algn="ctr">
              <a:solidFill>
                <a:schemeClr val="bg2"/>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00288"/>
        <c:crosses val="autoZero"/>
        <c:crossBetween val="between"/>
        <c:majorUnit val="20"/>
        <c:minorUnit val="5"/>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ayout>
        <c:manualLayout>
          <c:xMode val="edge"/>
          <c:yMode val="edge"/>
          <c:x val="0.14585538558832223"/>
          <c:y val="0.78193565248573937"/>
          <c:w val="0.76095511102586832"/>
          <c:h val="0.179469210501524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t" anchorCtr="0"/>
          <a:lstStyle/>
          <a:p>
            <a:pPr>
              <a:defRPr sz="1200" b="0" i="0" u="none" strike="noStrike" kern="1200" spc="0" baseline="0">
                <a:solidFill>
                  <a:schemeClr val="tx1">
                    <a:lumMod val="65000"/>
                    <a:lumOff val="35000"/>
                  </a:schemeClr>
                </a:solidFill>
                <a:latin typeface="+mn-lt"/>
                <a:ea typeface="+mn-ea"/>
                <a:cs typeface="+mn-cs"/>
              </a:defRPr>
            </a:pPr>
            <a:r>
              <a:rPr lang="en-US" sz="1200" b="1" baseline="0"/>
              <a:t>Cumulative Successful</a:t>
            </a:r>
          </a:p>
          <a:p>
            <a:pPr>
              <a:defRPr sz="1200" b="0" i="0" u="none" strike="noStrike" kern="1200" spc="0" baseline="0">
                <a:solidFill>
                  <a:schemeClr val="tx1">
                    <a:lumMod val="65000"/>
                    <a:lumOff val="35000"/>
                  </a:schemeClr>
                </a:solidFill>
                <a:latin typeface="+mn-lt"/>
                <a:ea typeface="+mn-ea"/>
                <a:cs typeface="+mn-cs"/>
              </a:defRPr>
            </a:pPr>
            <a:r>
              <a:rPr lang="en-US" sz="1200" b="1" baseline="0"/>
              <a:t> CCDs to PROD</a:t>
            </a:r>
          </a:p>
        </c:rich>
      </c:tx>
      <c:layout>
        <c:manualLayout>
          <c:xMode val="edge"/>
          <c:yMode val="edge"/>
          <c:x val="0.17739233399037971"/>
          <c:y val="0"/>
        </c:manualLayout>
      </c:layout>
      <c:overlay val="0"/>
      <c:spPr>
        <a:noFill/>
        <a:ln>
          <a:noFill/>
        </a:ln>
        <a:effectLst/>
      </c:spPr>
    </c:title>
    <c:autoTitleDeleted val="0"/>
    <c:plotArea>
      <c:layout>
        <c:manualLayout>
          <c:layoutTarget val="inner"/>
          <c:xMode val="edge"/>
          <c:yMode val="edge"/>
          <c:x val="0.2297589090023541"/>
          <c:y val="0.2643660333462583"/>
          <c:w val="0.72093584671257194"/>
          <c:h val="0.37833744996687357"/>
        </c:manualLayout>
      </c:layout>
      <c:barChart>
        <c:barDir val="col"/>
        <c:grouping val="clustered"/>
        <c:varyColors val="0"/>
        <c:ser>
          <c:idx val="0"/>
          <c:order val="0"/>
          <c:tx>
            <c:strRef>
              <c:f>Sheet1!$B$1</c:f>
              <c:strCache>
                <c:ptCount val="1"/>
                <c:pt idx="0">
                  <c:v>Documents Submitted Cumulative</c:v>
                </c:pt>
              </c:strCache>
            </c:strRef>
          </c:tx>
          <c:spPr>
            <a:solidFill>
              <a:schemeClr val="accent6"/>
            </a:solidFill>
            <a:ln>
              <a:noFill/>
            </a:ln>
            <a:effectLst/>
          </c:spPr>
          <c:invertIfNegative val="0"/>
          <c:dLbls>
            <c:dLbl>
              <c:idx val="0"/>
              <c:numFmt formatCode="[&gt;=1000]#,##0,\ &quot;K&quot;;0" sourceLinked="0"/>
              <c:spPr>
                <a:noFill/>
                <a:ln>
                  <a:noFill/>
                </a:ln>
                <a:effectLst/>
              </c:spPr>
              <c:txPr>
                <a:bodyPr rot="-1860000" spcFirstLastPara="1" vertOverflow="ellipsis"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7F7-4EE1-92DC-7780BD19147F}"/>
                </c:ext>
              </c:extLst>
            </c:dLbl>
            <c:dLbl>
              <c:idx val="1"/>
              <c:numFmt formatCode="[&gt;=1000]#,##0,\ &quot;K&quot;;0" sourceLinked="0"/>
              <c:spPr>
                <a:noFill/>
                <a:ln>
                  <a:noFill/>
                </a:ln>
                <a:effectLst/>
              </c:spPr>
              <c:txPr>
                <a:bodyPr rot="-1860000" spcFirstLastPara="1" vertOverflow="ellipsis"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7F7-4EE1-92DC-7780BD19147F}"/>
                </c:ext>
              </c:extLst>
            </c:dLbl>
            <c:dLbl>
              <c:idx val="2"/>
              <c:layout>
                <c:manualLayout>
                  <c:x val="2.2311468094600626E-3"/>
                  <c:y val="1.5467904098994586E-2"/>
                </c:manualLayout>
              </c:layout>
              <c:numFmt formatCode="[&gt;=1000]#,##0,\ &quot;K&quot;;0" sourceLinked="0"/>
              <c:spPr>
                <a:noFill/>
                <a:ln>
                  <a:noFill/>
                </a:ln>
                <a:effectLst/>
              </c:spPr>
              <c:txPr>
                <a:bodyPr rot="-1860000" spcFirstLastPara="1" vertOverflow="ellipsis"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0.16671164096455815"/>
                      <c:h val="0.10660126300917722"/>
                    </c:manualLayout>
                  </c15:layout>
                </c:ext>
                <c:ext xmlns:c16="http://schemas.microsoft.com/office/drawing/2014/chart" uri="{C3380CC4-5D6E-409C-BE32-E72D297353CC}">
                  <c16:uniqueId val="{00000002-47F7-4EE1-92DC-7780BD19147F}"/>
                </c:ext>
              </c:extLst>
            </c:dLbl>
            <c:dLbl>
              <c:idx val="3"/>
              <c:layout>
                <c:manualLayout>
                  <c:x val="2.2311468094599815E-3"/>
                  <c:y val="1.1600928074245939E-2"/>
                </c:manualLayout>
              </c:layout>
              <c:numFmt formatCode="[&gt;=1000]#,##0,\ &quot;K&quot;;0" sourceLinked="0"/>
              <c:spPr>
                <a:noFill/>
                <a:ln>
                  <a:noFill/>
                </a:ln>
                <a:effectLst/>
              </c:spPr>
              <c:txPr>
                <a:bodyPr rot="-1860000" spcFirstLastPara="1" vertOverflow="ellipsis"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5778705372671789"/>
                      <c:h val="0.16073892735565826"/>
                    </c:manualLayout>
                  </c15:layout>
                </c:ext>
                <c:ext xmlns:c16="http://schemas.microsoft.com/office/drawing/2014/chart" uri="{C3380CC4-5D6E-409C-BE32-E72D297353CC}">
                  <c16:uniqueId val="{00000003-47F7-4EE1-92DC-7780BD19147F}"/>
                </c:ext>
              </c:extLst>
            </c:dLbl>
            <c:dLbl>
              <c:idx val="4"/>
              <c:layout>
                <c:manualLayout>
                  <c:x val="2.2311468094598948E-3"/>
                  <c:y val="2.3201856148491858E-2"/>
                </c:manualLayout>
              </c:layout>
              <c:numFmt formatCode="[&gt;=1000]#,##0,\ &quot;K&quot;;0" sourceLinked="0"/>
              <c:spPr>
                <a:noFill/>
                <a:ln>
                  <a:noFill/>
                </a:ln>
                <a:effectLst/>
              </c:spPr>
              <c:txPr>
                <a:bodyPr rot="-1860000" spcFirstLastPara="1" vertOverflow="ellipsis"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4886246648887763"/>
                      <c:h val="0.18394078350415013"/>
                    </c:manualLayout>
                  </c15:layout>
                </c:ext>
                <c:ext xmlns:c16="http://schemas.microsoft.com/office/drawing/2014/chart" uri="{C3380CC4-5D6E-409C-BE32-E72D297353CC}">
                  <c16:uniqueId val="{00000004-47F7-4EE1-92DC-7780BD19147F}"/>
                </c:ext>
              </c:extLst>
            </c:dLbl>
            <c:dLbl>
              <c:idx val="5"/>
              <c:numFmt formatCode="[&gt;=1000]#,##0,\ &quot;K&quot;;0" sourceLinked="0"/>
              <c:spPr>
                <a:noFill/>
                <a:ln>
                  <a:noFill/>
                </a:ln>
                <a:effectLst/>
              </c:spPr>
              <c:txPr>
                <a:bodyPr rot="-1860000" spcFirstLastPara="1" vertOverflow="ellipsis"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47F7-4EE1-92DC-7780BD19147F}"/>
                </c:ext>
              </c:extLst>
            </c:dLbl>
            <c:numFmt formatCode="[&gt;=1000]#,##0,\ &quot;K&quot;;0" sourceLinked="0"/>
            <c:spPr>
              <a:noFill/>
              <a:ln>
                <a:noFill/>
              </a:ln>
              <a:effectLst/>
            </c:spPr>
            <c:txPr>
              <a:bodyPr rot="-186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Feb</c:v>
                </c:pt>
                <c:pt idx="1">
                  <c:v>Mar</c:v>
                </c:pt>
                <c:pt idx="2">
                  <c:v>Apr</c:v>
                </c:pt>
                <c:pt idx="3">
                  <c:v>May</c:v>
                </c:pt>
                <c:pt idx="4">
                  <c:v>Jun</c:v>
                </c:pt>
                <c:pt idx="5">
                  <c:v>Jul</c:v>
                </c:pt>
              </c:strCache>
            </c:strRef>
          </c:cat>
          <c:val>
            <c:numRef>
              <c:f>Sheet1!$B$2:$B$7</c:f>
              <c:numCache>
                <c:formatCode>#,##0</c:formatCode>
                <c:ptCount val="6"/>
                <c:pt idx="0">
                  <c:v>2525496</c:v>
                </c:pt>
                <c:pt idx="1">
                  <c:v>3019658</c:v>
                </c:pt>
                <c:pt idx="2">
                  <c:v>3474577</c:v>
                </c:pt>
                <c:pt idx="3">
                  <c:v>4003899</c:v>
                </c:pt>
                <c:pt idx="4">
                  <c:v>4581895</c:v>
                </c:pt>
                <c:pt idx="5">
                  <c:v>5134019</c:v>
                </c:pt>
              </c:numCache>
            </c:numRef>
          </c:val>
          <c:extLst>
            <c:ext xmlns:c16="http://schemas.microsoft.com/office/drawing/2014/chart" uri="{C3380CC4-5D6E-409C-BE32-E72D297353CC}">
              <c16:uniqueId val="{00000006-47F7-4EE1-92DC-7780BD19147F}"/>
            </c:ext>
          </c:extLst>
        </c:ser>
        <c:dLbls>
          <c:dLblPos val="outEnd"/>
          <c:showLegendKey val="0"/>
          <c:showVal val="1"/>
          <c:showCatName val="0"/>
          <c:showSerName val="0"/>
          <c:showPercent val="0"/>
          <c:showBubbleSize val="0"/>
        </c:dLbls>
        <c:gapWidth val="219"/>
        <c:overlap val="-27"/>
        <c:axId val="37965184"/>
        <c:axId val="37979264"/>
      </c:barChart>
      <c:catAx>
        <c:axId val="3796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79264"/>
        <c:crosses val="autoZero"/>
        <c:auto val="1"/>
        <c:lblAlgn val="ctr"/>
        <c:lblOffset val="100"/>
        <c:noMultiLvlLbl val="0"/>
      </c:catAx>
      <c:valAx>
        <c:axId val="379792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65184"/>
        <c:crosses val="autoZero"/>
        <c:crossBetween val="between"/>
        <c:majorUnit val="125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US" sz="1200" baseline="0"/>
              <a:t>Total Lives (2.2 M)</a:t>
            </a:r>
          </a:p>
        </c:rich>
      </c:tx>
      <c:layout>
        <c:manualLayout>
          <c:xMode val="edge"/>
          <c:yMode val="edge"/>
          <c:x val="0.41870746029627653"/>
          <c:y val="3.9958819621757603E-2"/>
        </c:manualLayout>
      </c:layout>
      <c:overlay val="0"/>
      <c:spPr>
        <a:noFill/>
        <a:ln>
          <a:noFill/>
        </a:ln>
        <a:effectLst/>
      </c:spPr>
    </c:title>
    <c:autoTitleDeleted val="0"/>
    <c:plotArea>
      <c:layout>
        <c:manualLayout>
          <c:layoutTarget val="inner"/>
          <c:xMode val="edge"/>
          <c:yMode val="edge"/>
          <c:x val="0.4490115330877259"/>
          <c:y val="0.23045144147065583"/>
          <c:w val="0.3953022991057642"/>
          <c:h val="0.7455581546908796"/>
        </c:manualLayout>
      </c:layout>
      <c:pieChart>
        <c:varyColors val="1"/>
        <c:ser>
          <c:idx val="0"/>
          <c:order val="0"/>
          <c:tx>
            <c:strRef>
              <c:f>Sheet1!$B$1</c:f>
              <c:strCache>
                <c:ptCount val="1"/>
                <c:pt idx="0">
                  <c:v>Lives</c:v>
                </c:pt>
              </c:strCache>
            </c:strRef>
          </c:tx>
          <c:spPr>
            <a:ln w="28575"/>
          </c:spPr>
          <c:dPt>
            <c:idx val="0"/>
            <c:bubble3D val="0"/>
            <c:spPr>
              <a:solidFill>
                <a:srgbClr val="FEFE34"/>
              </a:solidFill>
              <a:ln w="28575">
                <a:noFill/>
              </a:ln>
              <a:effectLst>
                <a:outerShdw blurRad="317500" algn="ctr" rotWithShape="0">
                  <a:prstClr val="black">
                    <a:alpha val="25000"/>
                  </a:prstClr>
                </a:outerShdw>
              </a:effectLst>
            </c:spPr>
            <c:extLst>
              <c:ext xmlns:c16="http://schemas.microsoft.com/office/drawing/2014/chart" uri="{C3380CC4-5D6E-409C-BE32-E72D297353CC}">
                <c16:uniqueId val="{00000001-DD0A-4388-96BB-1FBE0372C39E}"/>
              </c:ext>
            </c:extLst>
          </c:dPt>
          <c:dPt>
            <c:idx val="1"/>
            <c:bubble3D val="0"/>
            <c:spPr>
              <a:solidFill>
                <a:srgbClr val="E85A5A"/>
              </a:solidFill>
              <a:ln w="28575">
                <a:noFill/>
              </a:ln>
              <a:effectLst>
                <a:outerShdw blurRad="317500" algn="ctr" rotWithShape="0">
                  <a:prstClr val="black">
                    <a:alpha val="25000"/>
                  </a:prstClr>
                </a:outerShdw>
              </a:effectLst>
            </c:spPr>
            <c:extLst>
              <c:ext xmlns:c16="http://schemas.microsoft.com/office/drawing/2014/chart" uri="{C3380CC4-5D6E-409C-BE32-E72D297353CC}">
                <c16:uniqueId val="{00000003-DD0A-4388-96BB-1FBE0372C39E}"/>
              </c:ext>
            </c:extLst>
          </c:dPt>
          <c:dPt>
            <c:idx val="2"/>
            <c:bubble3D val="0"/>
            <c:spPr>
              <a:solidFill>
                <a:srgbClr val="C796F8"/>
              </a:solidFill>
              <a:ln w="28575">
                <a:noFill/>
              </a:ln>
              <a:effectLst>
                <a:outerShdw blurRad="317500" algn="ctr" rotWithShape="0">
                  <a:prstClr val="black">
                    <a:alpha val="25000"/>
                  </a:prstClr>
                </a:outerShdw>
              </a:effectLst>
            </c:spPr>
            <c:extLst>
              <c:ext xmlns:c16="http://schemas.microsoft.com/office/drawing/2014/chart" uri="{C3380CC4-5D6E-409C-BE32-E72D297353CC}">
                <c16:uniqueId val="{00000005-DD0A-4388-96BB-1FBE0372C39E}"/>
              </c:ext>
            </c:extLst>
          </c:dPt>
          <c:dPt>
            <c:idx val="3"/>
            <c:bubble3D val="0"/>
            <c:spPr>
              <a:solidFill>
                <a:schemeClr val="accent4"/>
              </a:solidFill>
              <a:ln w="28575">
                <a:noFill/>
              </a:ln>
              <a:effectLst>
                <a:outerShdw blurRad="317500" algn="ctr" rotWithShape="0">
                  <a:prstClr val="black">
                    <a:alpha val="25000"/>
                  </a:prstClr>
                </a:outerShdw>
              </a:effectLst>
            </c:spPr>
            <c:extLst>
              <c:ext xmlns:c16="http://schemas.microsoft.com/office/drawing/2014/chart" uri="{C3380CC4-5D6E-409C-BE32-E72D297353CC}">
                <c16:uniqueId val="{00000007-DD0A-4388-96BB-1FBE0372C39E}"/>
              </c:ext>
            </c:extLst>
          </c:dPt>
          <c:dPt>
            <c:idx val="4"/>
            <c:bubble3D val="0"/>
            <c:spPr>
              <a:solidFill>
                <a:schemeClr val="accent1">
                  <a:lumMod val="40000"/>
                  <a:lumOff val="60000"/>
                </a:schemeClr>
              </a:solidFill>
              <a:ln w="28575">
                <a:noFill/>
              </a:ln>
              <a:effectLst>
                <a:outerShdw blurRad="317500" algn="ctr" rotWithShape="0">
                  <a:prstClr val="black">
                    <a:alpha val="25000"/>
                  </a:prstClr>
                </a:outerShdw>
              </a:effectLst>
            </c:spPr>
            <c:extLst>
              <c:ext xmlns:c16="http://schemas.microsoft.com/office/drawing/2014/chart" uri="{C3380CC4-5D6E-409C-BE32-E72D297353CC}">
                <c16:uniqueId val="{00000009-DD0A-4388-96BB-1FBE0372C39E}"/>
              </c:ext>
            </c:extLst>
          </c:dPt>
          <c:dPt>
            <c:idx val="5"/>
            <c:bubble3D val="0"/>
            <c:spPr>
              <a:solidFill>
                <a:srgbClr val="71E971"/>
              </a:solidFill>
              <a:ln w="28575">
                <a:noFill/>
              </a:ln>
              <a:effectLst>
                <a:outerShdw blurRad="317500" algn="ctr" rotWithShape="0">
                  <a:prstClr val="black">
                    <a:alpha val="25000"/>
                  </a:prstClr>
                </a:outerShdw>
              </a:effectLst>
            </c:spPr>
            <c:extLst>
              <c:ext xmlns:c16="http://schemas.microsoft.com/office/drawing/2014/chart" uri="{C3380CC4-5D6E-409C-BE32-E72D297353CC}">
                <c16:uniqueId val="{0000000B-DD0A-4388-96BB-1FBE0372C39E}"/>
              </c:ext>
            </c:extLst>
          </c:dPt>
          <c:dLbls>
            <c:dLbl>
              <c:idx val="0"/>
              <c:layout>
                <c:manualLayout>
                  <c:x val="-3.3008316356768687E-2"/>
                  <c:y val="0.14475751245380039"/>
                </c:manualLayout>
              </c:layout>
              <c:tx>
                <c:rich>
                  <a:bodyPr/>
                  <a:lstStyle/>
                  <a:p>
                    <a:r>
                      <a:rPr lang="en-US"/>
                      <a:t>7%</a:t>
                    </a:r>
                  </a:p>
                </c:rich>
              </c:tx>
              <c:dLblPos val="bestFit"/>
              <c:showLegendKey val="0"/>
              <c:showVal val="0"/>
              <c:showCatName val="0"/>
              <c:showSerName val="0"/>
              <c:showPercent val="1"/>
              <c:showBubbleSize val="0"/>
              <c:extLst>
                <c:ext xmlns:c15="http://schemas.microsoft.com/office/drawing/2012/chart" uri="{CE6537A1-D6FC-4f65-9D91-7224C49458BB}">
                  <c15:layout>
                    <c:manualLayout>
                      <c:w val="8.0579328505595793E-2"/>
                      <c:h val="0.12101105746182841"/>
                    </c:manualLayout>
                  </c15:layout>
                </c:ext>
                <c:ext xmlns:c16="http://schemas.microsoft.com/office/drawing/2014/chart" uri="{C3380CC4-5D6E-409C-BE32-E72D297353CC}">
                  <c16:uniqueId val="{00000001-DD0A-4388-96BB-1FBE0372C39E}"/>
                </c:ext>
              </c:extLst>
            </c:dLbl>
            <c:dLbl>
              <c:idx val="1"/>
              <c:layout>
                <c:manualLayout>
                  <c:x val="-9.181933665966123E-2"/>
                  <c:y val="0.14769966029336298"/>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DD0A-4388-96BB-1FBE0372C39E}"/>
                </c:ext>
              </c:extLst>
            </c:dLbl>
            <c:dLbl>
              <c:idx val="2"/>
              <c:layout>
                <c:manualLayout>
                  <c:x val="-0.12682884685497262"/>
                  <c:y val="1.906934335157966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397241340168497"/>
                      <c:h val="0.11183558072833857"/>
                    </c:manualLayout>
                  </c15:layout>
                </c:ext>
                <c:ext xmlns:c16="http://schemas.microsoft.com/office/drawing/2014/chart" uri="{C3380CC4-5D6E-409C-BE32-E72D297353CC}">
                  <c16:uniqueId val="{00000005-DD0A-4388-96BB-1FBE0372C39E}"/>
                </c:ext>
              </c:extLst>
            </c:dLbl>
            <c:dLbl>
              <c:idx val="3"/>
              <c:layout>
                <c:manualLayout>
                  <c:x val="-9.3455253577173908E-2"/>
                  <c:y val="-0.16189389975278159"/>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DD0A-4388-96BB-1FBE0372C39E}"/>
                </c:ext>
              </c:extLst>
            </c:dLbl>
            <c:dLbl>
              <c:idx val="4"/>
              <c:layout>
                <c:manualLayout>
                  <c:x val="0.15882945507387605"/>
                  <c:y val="-3.8302245645478163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397241340168497"/>
                      <c:h val="0.11183558072833857"/>
                    </c:manualLayout>
                  </c15:layout>
                </c:ext>
                <c:ext xmlns:c16="http://schemas.microsoft.com/office/drawing/2014/chart" uri="{C3380CC4-5D6E-409C-BE32-E72D297353CC}">
                  <c16:uniqueId val="{00000009-DD0A-4388-96BB-1FBE0372C39E}"/>
                </c:ext>
              </c:extLst>
            </c:dLbl>
            <c:dLbl>
              <c:idx val="5"/>
              <c:layout>
                <c:manualLayout>
                  <c:x val="7.1794021139062691E-2"/>
                  <c:y val="0.15186792458742099"/>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DD0A-4388-96BB-1FBE0372C39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Amerigroup</c:v>
                </c:pt>
                <c:pt idx="1">
                  <c:v>Community Health Plan</c:v>
                </c:pt>
                <c:pt idx="2">
                  <c:v>Coordinated Care</c:v>
                </c:pt>
                <c:pt idx="3">
                  <c:v>HCA (storage only, no current MCO)</c:v>
                </c:pt>
                <c:pt idx="4">
                  <c:v>Molina</c:v>
                </c:pt>
                <c:pt idx="5">
                  <c:v>United</c:v>
                </c:pt>
              </c:strCache>
            </c:strRef>
          </c:cat>
          <c:val>
            <c:numRef>
              <c:f>Sheet1!$B$2:$B$7</c:f>
              <c:numCache>
                <c:formatCode>General</c:formatCode>
                <c:ptCount val="6"/>
                <c:pt idx="0">
                  <c:v>6</c:v>
                </c:pt>
                <c:pt idx="1">
                  <c:v>12</c:v>
                </c:pt>
                <c:pt idx="2">
                  <c:v>9</c:v>
                </c:pt>
                <c:pt idx="3">
                  <c:v>30</c:v>
                </c:pt>
                <c:pt idx="4">
                  <c:v>33</c:v>
                </c:pt>
                <c:pt idx="5">
                  <c:v>10</c:v>
                </c:pt>
              </c:numCache>
            </c:numRef>
          </c:val>
          <c:extLst>
            <c:ext xmlns:c16="http://schemas.microsoft.com/office/drawing/2014/chart" uri="{C3380CC4-5D6E-409C-BE32-E72D297353CC}">
              <c16:uniqueId val="{0000000C-DD0A-4388-96BB-1FBE0372C39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1.0493457238769469E-2"/>
          <c:y val="3.1384611509726816E-2"/>
          <c:w val="0.41726607896718021"/>
          <c:h val="0.96761673283442529"/>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C1BCC-0C59-4FD6-9BC1-92DB45C73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3220</Words>
  <Characters>18358</Characters>
  <Application>Microsoft Office Word</Application>
  <DocSecurity>4</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Finnegan</dc:creator>
  <cp:keywords/>
  <dc:description/>
  <cp:lastModifiedBy>Harvell, Jennie  (HCA)</cp:lastModifiedBy>
  <cp:revision>2</cp:revision>
  <dcterms:created xsi:type="dcterms:W3CDTF">2018-08-29T16:50:00Z</dcterms:created>
  <dcterms:modified xsi:type="dcterms:W3CDTF">2018-08-29T16:50:00Z</dcterms:modified>
</cp:coreProperties>
</file>